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42C" w:rsidRDefault="00F7642C">
      <w:pPr>
        <w:spacing w:after="0" w:line="240" w:lineRule="auto"/>
        <w:rPr>
          <w:rFonts w:ascii="Calibri" w:eastAsia="Calibri" w:hAnsi="Calibri" w:cs="Calibri"/>
          <w:color w:val="000000"/>
        </w:rPr>
      </w:pPr>
    </w:p>
    <w:p w:rsidR="00F7642C" w:rsidRDefault="00707D87">
      <w:pPr>
        <w:spacing w:after="0" w:line="240" w:lineRule="auto"/>
        <w:rPr>
          <w:rFonts w:ascii="Calibri" w:eastAsia="Calibri" w:hAnsi="Calibri" w:cs="Calibri"/>
          <w:color w:val="000000"/>
        </w:rPr>
      </w:pPr>
      <w:r>
        <w:rPr>
          <w:rFonts w:ascii="Calibri" w:eastAsia="Calibri" w:hAnsi="Calibri" w:cs="Calibri"/>
          <w:color w:val="000000"/>
        </w:rPr>
        <w:t> </w:t>
      </w:r>
    </w:p>
    <w:tbl>
      <w:tblPr>
        <w:tblW w:w="0" w:type="auto"/>
        <w:jc w:val="center"/>
        <w:tblCellMar>
          <w:left w:w="10" w:type="dxa"/>
          <w:right w:w="10" w:type="dxa"/>
        </w:tblCellMar>
        <w:tblLook w:val="04A0"/>
      </w:tblPr>
      <w:tblGrid>
        <w:gridCol w:w="8019"/>
      </w:tblGrid>
      <w:tr w:rsidR="00F7642C">
        <w:tblPrEx>
          <w:tblCellMar>
            <w:top w:w="0" w:type="dxa"/>
            <w:bottom w:w="0" w:type="dxa"/>
          </w:tblCellMar>
        </w:tblPrEx>
        <w:trPr>
          <w:trHeight w:val="1"/>
          <w:jc w:val="center"/>
        </w:trPr>
        <w:tc>
          <w:tcPr>
            <w:tcW w:w="8019" w:type="dxa"/>
            <w:tcBorders>
              <w:top w:val="single" w:sz="0" w:space="0" w:color="000000"/>
              <w:left w:val="single" w:sz="0" w:space="0" w:color="000000"/>
              <w:bottom w:val="single" w:sz="0" w:space="0" w:color="000000"/>
              <w:right w:val="single" w:sz="0" w:space="0" w:color="000000"/>
            </w:tcBorders>
            <w:shd w:val="clear" w:color="000000" w:fill="FFFFFF"/>
            <w:tcMar>
              <w:left w:w="9" w:type="dxa"/>
              <w:right w:w="9" w:type="dxa"/>
            </w:tcMar>
            <w:vAlign w:val="center"/>
          </w:tcPr>
          <w:tbl>
            <w:tblPr>
              <w:tblW w:w="0" w:type="auto"/>
              <w:jc w:val="center"/>
              <w:tblCellMar>
                <w:left w:w="10" w:type="dxa"/>
                <w:right w:w="10" w:type="dxa"/>
              </w:tblCellMar>
              <w:tblLook w:val="04A0"/>
            </w:tblPr>
            <w:tblGrid>
              <w:gridCol w:w="2687"/>
            </w:tblGrid>
            <w:tr w:rsidR="00F7642C">
              <w:tblPrEx>
                <w:tblCellMar>
                  <w:top w:w="0" w:type="dxa"/>
                  <w:bottom w:w="0" w:type="dxa"/>
                </w:tblCellMar>
              </w:tblPrEx>
              <w:trPr>
                <w:trHeight w:val="1"/>
                <w:jc w:val="center"/>
              </w:trPr>
              <w:tc>
                <w:tcPr>
                  <w:tcW w:w="2687" w:type="dxa"/>
                  <w:tcBorders>
                    <w:top w:val="single" w:sz="8" w:space="0" w:color="999999"/>
                    <w:left w:val="single" w:sz="8" w:space="0" w:color="999999"/>
                    <w:bottom w:val="single" w:sz="8" w:space="0" w:color="999999"/>
                    <w:right w:val="single" w:sz="8" w:space="0" w:color="999999"/>
                  </w:tcBorders>
                  <w:shd w:val="clear" w:color="auto" w:fill="31639C"/>
                  <w:tcMar>
                    <w:left w:w="90" w:type="dxa"/>
                    <w:right w:w="90" w:type="dxa"/>
                  </w:tcMar>
                  <w:vAlign w:val="center"/>
                </w:tcPr>
                <w:p w:rsidR="00F7642C" w:rsidRDefault="00707D87">
                  <w:pPr>
                    <w:spacing w:after="0" w:line="240" w:lineRule="auto"/>
                    <w:jc w:val="center"/>
                  </w:pPr>
                  <w:r>
                    <w:rPr>
                      <w:rFonts w:ascii="Verdana" w:eastAsia="Verdana" w:hAnsi="Verdana" w:cs="Verdana"/>
                      <w:b/>
                      <w:color w:val="FFFFFF"/>
                      <w:sz w:val="20"/>
                      <w:shd w:val="clear" w:color="auto" w:fill="31639C"/>
                    </w:rPr>
                    <w:t xml:space="preserve">   Acta de Consejo Superior : 005 del 27/01/2004 </w:t>
                  </w:r>
                </w:p>
              </w:tc>
            </w:tr>
          </w:tbl>
          <w:p w:rsidR="00F7642C" w:rsidRDefault="00F7642C">
            <w:pPr>
              <w:spacing w:after="0" w:line="240" w:lineRule="auto"/>
              <w:jc w:val="center"/>
            </w:pPr>
          </w:p>
        </w:tc>
      </w:tr>
    </w:tbl>
    <w:p w:rsidR="00F7642C" w:rsidRDefault="00707D87">
      <w:pPr>
        <w:spacing w:after="0" w:line="240" w:lineRule="auto"/>
        <w:jc w:val="both"/>
        <w:rPr>
          <w:rFonts w:ascii="Calibri" w:eastAsia="Calibri" w:hAnsi="Calibri" w:cs="Calibri"/>
          <w:color w:val="000000"/>
        </w:rPr>
      </w:pPr>
      <w:r>
        <w:rPr>
          <w:rFonts w:ascii="Verdana" w:eastAsia="Verdana" w:hAnsi="Verdana" w:cs="Verdana"/>
          <w:color w:val="000000"/>
          <w:sz w:val="20"/>
        </w:rPr>
        <w:t> </w:t>
      </w:r>
    </w:p>
    <w:tbl>
      <w:tblPr>
        <w:tblW w:w="0" w:type="auto"/>
        <w:tblInd w:w="-10" w:type="dxa"/>
        <w:tblCellMar>
          <w:left w:w="10" w:type="dxa"/>
          <w:right w:w="10" w:type="dxa"/>
        </w:tblCellMar>
        <w:tblLook w:val="04A0"/>
      </w:tblPr>
      <w:tblGrid>
        <w:gridCol w:w="7954"/>
      </w:tblGrid>
      <w:tr w:rsidR="00F7642C">
        <w:tblPrEx>
          <w:tblCellMar>
            <w:top w:w="0" w:type="dxa"/>
            <w:bottom w:w="0" w:type="dxa"/>
          </w:tblCellMar>
        </w:tblPrEx>
        <w:trPr>
          <w:trHeight w:val="1"/>
        </w:trPr>
        <w:tc>
          <w:tcPr>
            <w:tcW w:w="795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vAlign w:val="center"/>
          </w:tcPr>
          <w:tbl>
            <w:tblPr>
              <w:tblW w:w="0" w:type="auto"/>
              <w:jc w:val="center"/>
              <w:tblCellMar>
                <w:left w:w="10" w:type="dxa"/>
                <w:right w:w="10" w:type="dxa"/>
              </w:tblCellMar>
              <w:tblLook w:val="04A0"/>
            </w:tblPr>
            <w:tblGrid>
              <w:gridCol w:w="7141"/>
            </w:tblGrid>
            <w:tr w:rsidR="00F7642C">
              <w:tblPrEx>
                <w:tblCellMar>
                  <w:top w:w="0" w:type="dxa"/>
                  <w:bottom w:w="0" w:type="dxa"/>
                </w:tblCellMar>
              </w:tblPrEx>
              <w:trPr>
                <w:trHeight w:val="1"/>
                <w:jc w:val="center"/>
              </w:trPr>
              <w:tc>
                <w:tcPr>
                  <w:tcW w:w="7141" w:type="dxa"/>
                  <w:tcBorders>
                    <w:top w:val="single" w:sz="8" w:space="0" w:color="31639C"/>
                    <w:left w:val="single" w:sz="8" w:space="0" w:color="31639C"/>
                    <w:bottom w:val="single" w:sz="8" w:space="0" w:color="31639C"/>
                    <w:right w:val="single" w:sz="8" w:space="0" w:color="31639C"/>
                  </w:tcBorders>
                  <w:shd w:val="clear" w:color="auto" w:fill="31639C"/>
                  <w:tcMar>
                    <w:left w:w="74" w:type="dxa"/>
                    <w:right w:w="74" w:type="dxa"/>
                  </w:tcMar>
                  <w:vAlign w:val="center"/>
                </w:tcPr>
                <w:p w:rsidR="00F7642C" w:rsidRDefault="00707D87">
                  <w:pPr>
                    <w:spacing w:after="0" w:line="240" w:lineRule="auto"/>
                  </w:pPr>
                  <w:r>
                    <w:rPr>
                      <w:rFonts w:ascii="Verdana" w:eastAsia="Verdana" w:hAnsi="Verdana" w:cs="Verdana"/>
                      <w:b/>
                      <w:color w:val="FFFFFF"/>
                      <w:sz w:val="20"/>
                    </w:rPr>
                    <w:t xml:space="preserve">   Artículo XXXII  (32)  - (97 artículos) </w:t>
                  </w:r>
                </w:p>
              </w:tc>
            </w:tr>
            <w:tr w:rsidR="00F7642C">
              <w:tblPrEx>
                <w:tblCellMar>
                  <w:top w:w="0" w:type="dxa"/>
                  <w:bottom w:w="0" w:type="dxa"/>
                </w:tblCellMar>
              </w:tblPrEx>
              <w:trPr>
                <w:trHeight w:val="1"/>
                <w:jc w:val="center"/>
              </w:trPr>
              <w:tc>
                <w:tcPr>
                  <w:tcW w:w="7141" w:type="dxa"/>
                  <w:tcBorders>
                    <w:top w:val="single" w:sz="8" w:space="0" w:color="31639C"/>
                    <w:left w:val="single" w:sz="8" w:space="0" w:color="31639C"/>
                    <w:bottom w:val="single" w:sz="8" w:space="0" w:color="31639C"/>
                    <w:right w:val="single" w:sz="8" w:space="0" w:color="31639C"/>
                  </w:tcBorders>
                  <w:shd w:val="clear" w:color="auto" w:fill="FFFFFF"/>
                  <w:tcMar>
                    <w:left w:w="0" w:type="dxa"/>
                    <w:right w:w="0" w:type="dxa"/>
                  </w:tcMar>
                  <w:vAlign w:val="center"/>
                </w:tcPr>
                <w:p w:rsidR="00F7642C" w:rsidRDefault="00F7642C">
                  <w:pPr>
                    <w:spacing w:after="0" w:line="240" w:lineRule="auto"/>
                    <w:rPr>
                      <w:rFonts w:ascii="Calibri" w:eastAsia="Calibri" w:hAnsi="Calibri" w:cs="Calibri"/>
                    </w:rPr>
                  </w:pPr>
                </w:p>
              </w:tc>
            </w:tr>
            <w:tr w:rsidR="00F7642C">
              <w:tblPrEx>
                <w:tblCellMar>
                  <w:top w:w="0" w:type="dxa"/>
                  <w:bottom w:w="0" w:type="dxa"/>
                </w:tblCellMar>
              </w:tblPrEx>
              <w:trPr>
                <w:trHeight w:val="1"/>
                <w:jc w:val="center"/>
              </w:trPr>
              <w:tc>
                <w:tcPr>
                  <w:tcW w:w="7141" w:type="dxa"/>
                  <w:tcBorders>
                    <w:top w:val="single" w:sz="8" w:space="0" w:color="31639C"/>
                    <w:left w:val="single" w:sz="8" w:space="0" w:color="31639C"/>
                    <w:bottom w:val="single" w:sz="8" w:space="0" w:color="31639C"/>
                    <w:right w:val="single" w:sz="8" w:space="0" w:color="31639C"/>
                  </w:tcBorders>
                  <w:shd w:val="clear" w:color="auto" w:fill="FFFFFF"/>
                  <w:tcMar>
                    <w:left w:w="0" w:type="dxa"/>
                    <w:right w:w="0" w:type="dxa"/>
                  </w:tcMar>
                  <w:vAlign w:val="center"/>
                </w:tcPr>
                <w:p w:rsidR="00F7642C" w:rsidRDefault="00707D87">
                  <w:pPr>
                    <w:spacing w:after="0" w:line="240" w:lineRule="auto"/>
                    <w:jc w:val="center"/>
                    <w:rPr>
                      <w:rFonts w:ascii="Times New Roman" w:eastAsia="Times New Roman" w:hAnsi="Times New Roman" w:cs="Times New Roman"/>
                      <w:sz w:val="24"/>
                    </w:rPr>
                  </w:pPr>
                  <w:r>
                    <w:rPr>
                      <w:rFonts w:ascii="Verdana" w:eastAsia="Verdana" w:hAnsi="Verdana" w:cs="Verdana"/>
                      <w:color w:val="000000"/>
                      <w:sz w:val="20"/>
                    </w:rPr>
                    <w:t xml:space="preserve">ARTÍCULO </w:t>
                  </w:r>
                  <w:r>
                    <w:rPr>
                      <w:rFonts w:ascii="Verdana" w:eastAsia="Verdana" w:hAnsi="Verdana" w:cs="Verdana"/>
                      <w:b/>
                      <w:color w:val="16166E"/>
                      <w:sz w:val="20"/>
                      <w:shd w:val="clear" w:color="auto" w:fill="6495ED"/>
                    </w:rPr>
                    <w:t>XXXII</w:t>
                  </w:r>
                </w:p>
                <w:p w:rsidR="00F7642C" w:rsidRDefault="00707D87">
                  <w:pPr>
                    <w:spacing w:after="0" w:line="240" w:lineRule="auto"/>
                    <w:jc w:val="both"/>
                    <w:rPr>
                      <w:rFonts w:ascii="Times New Roman" w:eastAsia="Times New Roman" w:hAnsi="Times New Roman" w:cs="Times New Roman"/>
                      <w:sz w:val="24"/>
                    </w:rPr>
                  </w:pPr>
                  <w:r>
                    <w:rPr>
                      <w:rFonts w:ascii="Verdana" w:eastAsia="Verdana" w:hAnsi="Verdana" w:cs="Verdana"/>
                      <w:color w:val="000000"/>
                      <w:sz w:val="20"/>
                    </w:rPr>
                    <w:t xml:space="preserve">            El doctor Luis del Valle Carazo, Jefe de la Sección de Patología Forense del Organismo de Investigación Judicial, mediante correo electrónico recibido el 23 de enero en curso, expone la siguiente situación: </w:t>
                  </w:r>
                </w:p>
                <w:p w:rsidR="00F7642C" w:rsidRDefault="00707D87">
                  <w:pPr>
                    <w:spacing w:after="0" w:line="240" w:lineRule="auto"/>
                    <w:jc w:val="both"/>
                    <w:rPr>
                      <w:rFonts w:ascii="Times New Roman" w:eastAsia="Times New Roman" w:hAnsi="Times New Roman" w:cs="Times New Roman"/>
                      <w:sz w:val="24"/>
                    </w:rPr>
                  </w:pPr>
                  <w:r>
                    <w:rPr>
                      <w:rFonts w:ascii="Verdana" w:eastAsia="Verdana" w:hAnsi="Verdana" w:cs="Verdana"/>
                      <w:color w:val="000000"/>
                      <w:sz w:val="20"/>
                    </w:rPr>
                    <w:t>“... Recuerda que hace ya varios años usted me había recomendado la conveniencia de cooperar en asuntos relacionados con indígenas; desde ese entonces hemos venido coordinando con CONAI Comisión nacional de Asuntos Indígenas en varios sentidos: velar por l</w:t>
                  </w:r>
                  <w:r>
                    <w:rPr>
                      <w:rFonts w:ascii="Verdana" w:eastAsia="Verdana" w:hAnsi="Verdana" w:cs="Verdana"/>
                      <w:color w:val="000000"/>
                      <w:sz w:val="20"/>
                    </w:rPr>
                    <w:t>a celeridad en la traída y devolución de los cuerpos, donación de féretros rústicos para cuerpos de ciudadanos indígenas y traslado de cuerpos a las localidades de donde proceden.  Cada féretro cuesta 18.000 colones  y se devuelve el cuerpo en todos los ca</w:t>
                  </w:r>
                  <w:r>
                    <w:rPr>
                      <w:rFonts w:ascii="Verdana" w:eastAsia="Verdana" w:hAnsi="Verdana" w:cs="Verdana"/>
                      <w:color w:val="000000"/>
                      <w:sz w:val="20"/>
                    </w:rPr>
                    <w:t xml:space="preserve">sos al lugar de donde procede.   En esa época,  inclusive la Defensoría de los Habitantes coordinó que yo fuera a reunirme con los médicos indígenas </w:t>
                  </w:r>
                  <w:proofErr w:type="spellStart"/>
                  <w:r>
                    <w:rPr>
                      <w:rFonts w:ascii="Verdana" w:eastAsia="Verdana" w:hAnsi="Verdana" w:cs="Verdana"/>
                      <w:color w:val="000000"/>
                      <w:sz w:val="20"/>
                    </w:rPr>
                    <w:t>guaymíes</w:t>
                  </w:r>
                  <w:proofErr w:type="spellEnd"/>
                  <w:r>
                    <w:rPr>
                      <w:rFonts w:ascii="Verdana" w:eastAsia="Verdana" w:hAnsi="Verdana" w:cs="Verdana"/>
                      <w:color w:val="000000"/>
                      <w:sz w:val="20"/>
                    </w:rPr>
                    <w:t xml:space="preserve"> para explicarles la conveniencia de la autopsia médico legal en las muerte de miembros de su comun</w:t>
                  </w:r>
                  <w:r>
                    <w:rPr>
                      <w:rFonts w:ascii="Verdana" w:eastAsia="Verdana" w:hAnsi="Verdana" w:cs="Verdana"/>
                      <w:color w:val="000000"/>
                      <w:sz w:val="20"/>
                    </w:rPr>
                    <w:t xml:space="preserve">idad que calificaran como casos a investigar de acuerdo a la ley “blanca”. Ellos estuvieron de acuerdo en el entendido de que yo iba a velar por la celeridad en la devolución de los cuerpos y la donación de féretros cuando fuera el caso.  </w:t>
                  </w:r>
                </w:p>
                <w:p w:rsidR="00F7642C" w:rsidRDefault="00707D87">
                  <w:pPr>
                    <w:spacing w:after="0" w:line="240" w:lineRule="auto"/>
                    <w:jc w:val="both"/>
                    <w:rPr>
                      <w:rFonts w:ascii="Times New Roman" w:eastAsia="Times New Roman" w:hAnsi="Times New Roman" w:cs="Times New Roman"/>
                      <w:sz w:val="24"/>
                    </w:rPr>
                  </w:pPr>
                  <w:r>
                    <w:rPr>
                      <w:rFonts w:ascii="Verdana" w:eastAsia="Verdana" w:hAnsi="Verdana" w:cs="Verdana"/>
                      <w:color w:val="000000"/>
                      <w:sz w:val="20"/>
                    </w:rPr>
                    <w:t> El CONAI ha sol</w:t>
                  </w:r>
                  <w:r>
                    <w:rPr>
                      <w:rFonts w:ascii="Verdana" w:eastAsia="Verdana" w:hAnsi="Verdana" w:cs="Verdana"/>
                      <w:color w:val="000000"/>
                      <w:sz w:val="20"/>
                    </w:rPr>
                    <w:t xml:space="preserve">icitado cooperación en el sentido de que si fallece un niño indígena en el Hospital de Niños de muerte natural, se trae el cuerpo a la morgue, se mantiene en depósito y </w:t>
                  </w:r>
                  <w:r>
                    <w:rPr>
                      <w:rFonts w:ascii="Verdana" w:eastAsia="Verdana" w:hAnsi="Verdana" w:cs="Verdana"/>
                      <w:color w:val="000000"/>
                      <w:sz w:val="20"/>
                      <w:u w:val="single"/>
                    </w:rPr>
                    <w:t>cuando hay viaje para la zona</w:t>
                  </w:r>
                  <w:r>
                    <w:rPr>
                      <w:rFonts w:ascii="Verdana" w:eastAsia="Verdana" w:hAnsi="Verdana" w:cs="Verdana"/>
                      <w:color w:val="000000"/>
                      <w:sz w:val="20"/>
                    </w:rPr>
                    <w:t xml:space="preserve"> se envía el cuerpo a la familia indígena, en estos casos el féretro pequeño lo donan las Damas voluntarias del HNN.  Esa cooperación se ha venido haciendo sin ningún problema la frecuencia con que enviamos cuerpos es muy  baja, menos de uno al mes. </w:t>
                  </w:r>
                </w:p>
                <w:p w:rsidR="00F7642C" w:rsidRDefault="00707D87">
                  <w:pPr>
                    <w:spacing w:after="0" w:line="240" w:lineRule="auto"/>
                    <w:jc w:val="both"/>
                    <w:rPr>
                      <w:rFonts w:ascii="Times New Roman" w:eastAsia="Times New Roman" w:hAnsi="Times New Roman" w:cs="Times New Roman"/>
                      <w:sz w:val="24"/>
                    </w:rPr>
                  </w:pPr>
                  <w:r>
                    <w:rPr>
                      <w:rFonts w:ascii="Verdana" w:eastAsia="Verdana" w:hAnsi="Verdana" w:cs="Verdana"/>
                      <w:color w:val="000000"/>
                      <w:sz w:val="20"/>
                    </w:rPr>
                    <w:t> Desd</w:t>
                  </w:r>
                  <w:r>
                    <w:rPr>
                      <w:rFonts w:ascii="Verdana" w:eastAsia="Verdana" w:hAnsi="Verdana" w:cs="Verdana"/>
                      <w:color w:val="000000"/>
                      <w:sz w:val="20"/>
                    </w:rPr>
                    <w:t xml:space="preserve">e que usted me pidió esta cooperación no ha habido inconvenientes y personalmente me he encargado que se haga de la mejor manera. </w:t>
                  </w:r>
                </w:p>
                <w:p w:rsidR="00F7642C" w:rsidRDefault="00707D87">
                  <w:pPr>
                    <w:spacing w:after="0" w:line="240" w:lineRule="auto"/>
                    <w:jc w:val="both"/>
                    <w:rPr>
                      <w:rFonts w:ascii="Times New Roman" w:eastAsia="Times New Roman" w:hAnsi="Times New Roman" w:cs="Times New Roman"/>
                      <w:sz w:val="24"/>
                    </w:rPr>
                  </w:pPr>
                  <w:r>
                    <w:rPr>
                      <w:rFonts w:ascii="Verdana" w:eastAsia="Verdana" w:hAnsi="Verdana" w:cs="Verdana"/>
                      <w:color w:val="000000"/>
                      <w:sz w:val="20"/>
                    </w:rPr>
                    <w:t xml:space="preserve"> Ahora, hay un jefe nuevo que coordina los viajes de los vehículos </w:t>
                  </w:r>
                  <w:proofErr w:type="spellStart"/>
                  <w:r>
                    <w:rPr>
                      <w:rFonts w:ascii="Verdana" w:eastAsia="Verdana" w:hAnsi="Verdana" w:cs="Verdana"/>
                      <w:color w:val="000000"/>
                      <w:sz w:val="20"/>
                    </w:rPr>
                    <w:t>morgueras</w:t>
                  </w:r>
                  <w:proofErr w:type="spellEnd"/>
                  <w:r>
                    <w:rPr>
                      <w:rFonts w:ascii="Verdana" w:eastAsia="Verdana" w:hAnsi="Verdana" w:cs="Verdana"/>
                      <w:color w:val="000000"/>
                      <w:sz w:val="20"/>
                    </w:rPr>
                    <w:t xml:space="preserve"> y refiere que para poder hacer estos viajes se n</w:t>
                  </w:r>
                  <w:r>
                    <w:rPr>
                      <w:rFonts w:ascii="Verdana" w:eastAsia="Verdana" w:hAnsi="Verdana" w:cs="Verdana"/>
                      <w:color w:val="000000"/>
                      <w:sz w:val="20"/>
                    </w:rPr>
                    <w:t xml:space="preserve">ecesita la orden de un fiscal o un juez y no acepta que yo tenga capacidad de disponer una cooperación como la del segundo caso: traer un niño indígena del HNN dejarlo en depósito y llevarlo a la localidad donde lo espera la familia en el entendido de que </w:t>
                  </w:r>
                  <w:r>
                    <w:rPr>
                      <w:rFonts w:ascii="Verdana" w:eastAsia="Verdana" w:hAnsi="Verdana" w:cs="Verdana"/>
                      <w:color w:val="000000"/>
                      <w:sz w:val="20"/>
                    </w:rPr>
                    <w:t xml:space="preserve">el traslado se hace  cuando haya un viaje a la zona. El problema es cuando me llama un fiscal para preguntarme que por qué le piden esa orden que no entiende y todo esto retrasa la celeridad que se tiene prometido darles a los indígenas. </w:t>
                  </w:r>
                </w:p>
                <w:p w:rsidR="00F7642C" w:rsidRDefault="00707D87">
                  <w:pPr>
                    <w:spacing w:after="0" w:line="240" w:lineRule="auto"/>
                    <w:jc w:val="both"/>
                    <w:rPr>
                      <w:rFonts w:ascii="Times New Roman" w:eastAsia="Times New Roman" w:hAnsi="Times New Roman" w:cs="Times New Roman"/>
                      <w:sz w:val="24"/>
                    </w:rPr>
                  </w:pPr>
                  <w:r>
                    <w:rPr>
                      <w:rFonts w:ascii="Verdana" w:eastAsia="Verdana" w:hAnsi="Verdana" w:cs="Verdana"/>
                      <w:color w:val="000000"/>
                      <w:sz w:val="20"/>
                    </w:rPr>
                    <w:t xml:space="preserve">- 0 - </w:t>
                  </w:r>
                </w:p>
                <w:p w:rsidR="00F7642C" w:rsidRDefault="00707D87">
                  <w:pPr>
                    <w:spacing w:after="0" w:line="240" w:lineRule="auto"/>
                    <w:jc w:val="both"/>
                    <w:rPr>
                      <w:rFonts w:ascii="Times New Roman" w:eastAsia="Times New Roman" w:hAnsi="Times New Roman" w:cs="Times New Roman"/>
                      <w:sz w:val="24"/>
                    </w:rPr>
                  </w:pPr>
                  <w:r>
                    <w:rPr>
                      <w:rFonts w:ascii="Verdana" w:eastAsia="Verdana" w:hAnsi="Verdana" w:cs="Verdana"/>
                      <w:color w:val="000000"/>
                      <w:sz w:val="20"/>
                    </w:rPr>
                    <w:t xml:space="preserve">         </w:t>
                  </w:r>
                </w:p>
                <w:p w:rsidR="00F7642C" w:rsidRDefault="00707D87">
                  <w:pPr>
                    <w:spacing w:after="0" w:line="240" w:lineRule="auto"/>
                    <w:jc w:val="both"/>
                    <w:rPr>
                      <w:rFonts w:ascii="Times New Roman" w:eastAsia="Times New Roman" w:hAnsi="Times New Roman" w:cs="Times New Roman"/>
                      <w:sz w:val="24"/>
                    </w:rPr>
                  </w:pPr>
                  <w:r>
                    <w:rPr>
                      <w:rFonts w:ascii="Verdana" w:eastAsia="Verdana" w:hAnsi="Verdana" w:cs="Verdana"/>
                      <w:color w:val="000000"/>
                      <w:sz w:val="20"/>
                    </w:rPr>
                    <w:t xml:space="preserve">Por lo anterior, solicita autoridad para disponer en este tipo de gestiones. </w:t>
                  </w:r>
                </w:p>
                <w:p w:rsidR="00F7642C" w:rsidRDefault="00707D87">
                  <w:pPr>
                    <w:spacing w:after="0" w:line="240" w:lineRule="auto"/>
                    <w:jc w:val="both"/>
                    <w:rPr>
                      <w:rFonts w:ascii="Times New Roman" w:eastAsia="Times New Roman" w:hAnsi="Times New Roman" w:cs="Times New Roman"/>
                      <w:sz w:val="24"/>
                    </w:rPr>
                  </w:pPr>
                  <w:r>
                    <w:rPr>
                      <w:rFonts w:ascii="Verdana" w:eastAsia="Verdana" w:hAnsi="Verdana" w:cs="Verdana"/>
                      <w:color w:val="000000"/>
                      <w:sz w:val="20"/>
                    </w:rPr>
                    <w:t xml:space="preserve">            </w:t>
                  </w:r>
                  <w:r>
                    <w:rPr>
                      <w:rFonts w:ascii="Verdana" w:eastAsia="Verdana" w:hAnsi="Verdana" w:cs="Verdana"/>
                      <w:b/>
                      <w:color w:val="000000"/>
                      <w:sz w:val="20"/>
                    </w:rPr>
                    <w:t>Se acordó:</w:t>
                  </w:r>
                  <w:r>
                    <w:rPr>
                      <w:rFonts w:ascii="Verdana" w:eastAsia="Verdana" w:hAnsi="Verdana" w:cs="Verdana"/>
                      <w:color w:val="000000"/>
                      <w:sz w:val="20"/>
                    </w:rPr>
                    <w:t>  Trasladar la comunicación del doctor Del Valle Carazo a conocimiento de la Dirección General del Organismo de Investigación Judicial, a fin de que gire la</w:t>
                  </w:r>
                  <w:r>
                    <w:rPr>
                      <w:rFonts w:ascii="Verdana" w:eastAsia="Verdana" w:hAnsi="Verdana" w:cs="Verdana"/>
                      <w:color w:val="000000"/>
                      <w:sz w:val="20"/>
                    </w:rPr>
                    <w:t xml:space="preserve">s instrucciones </w:t>
                  </w:r>
                  <w:r>
                    <w:rPr>
                      <w:rFonts w:ascii="Verdana" w:eastAsia="Verdana" w:hAnsi="Verdana" w:cs="Verdana"/>
                      <w:color w:val="000000"/>
                      <w:sz w:val="20"/>
                    </w:rPr>
                    <w:lastRenderedPageBreak/>
                    <w:t xml:space="preserve">correspondientes para que continúe la cooperación a la Comisión Nacional de Asuntos Indígenas que viene brindando la Sección de Patología Forense. </w:t>
                  </w:r>
                </w:p>
                <w:p w:rsidR="00F7642C" w:rsidRDefault="00707D87">
                  <w:pPr>
                    <w:spacing w:after="0" w:line="240" w:lineRule="auto"/>
                    <w:jc w:val="both"/>
                    <w:rPr>
                      <w:rFonts w:ascii="Calibri" w:eastAsia="Calibri" w:hAnsi="Calibri" w:cs="Calibri"/>
                    </w:rPr>
                  </w:pPr>
                  <w:r>
                    <w:rPr>
                      <w:rFonts w:ascii="Verdana" w:eastAsia="Verdana" w:hAnsi="Verdana" w:cs="Verdana"/>
                      <w:b/>
                      <w:color w:val="000000"/>
                      <w:sz w:val="20"/>
                      <w:u w:val="single"/>
                    </w:rPr>
                    <w:br/>
                  </w:r>
                </w:p>
                <w:p w:rsidR="00F7642C" w:rsidRDefault="00707D87">
                  <w:pPr>
                    <w:spacing w:after="0" w:line="240" w:lineRule="auto"/>
                  </w:pPr>
                  <w:r>
                    <w:rPr>
                      <w:rFonts w:ascii="Verdana" w:eastAsia="Verdana" w:hAnsi="Verdana" w:cs="Verdana"/>
                      <w:b/>
                      <w:color w:val="000000"/>
                      <w:sz w:val="15"/>
                    </w:rPr>
                    <w:t>Es copia fiel del original - Tomado del Sistema Costarricense de Información Jurídica el :</w:t>
                  </w:r>
                  <w:r>
                    <w:rPr>
                      <w:rFonts w:ascii="Verdana" w:eastAsia="Verdana" w:hAnsi="Verdana" w:cs="Verdana"/>
                      <w:b/>
                      <w:color w:val="000000"/>
                      <w:sz w:val="15"/>
                    </w:rPr>
                    <w:t xml:space="preserve"> 19/5/2017 04:02:44 p.m. </w:t>
                  </w:r>
                </w:p>
              </w:tc>
            </w:tr>
          </w:tbl>
          <w:p w:rsidR="00F7642C" w:rsidRDefault="00707D87">
            <w:pPr>
              <w:spacing w:after="0" w:line="240" w:lineRule="auto"/>
              <w:rPr>
                <w:rFonts w:ascii="Calibri" w:eastAsia="Calibri" w:hAnsi="Calibri" w:cs="Calibri"/>
              </w:rPr>
            </w:pPr>
            <w:r>
              <w:rPr>
                <w:rFonts w:ascii="Calibri" w:eastAsia="Calibri" w:hAnsi="Calibri" w:cs="Calibri"/>
              </w:rPr>
              <w:lastRenderedPageBreak/>
              <w:t> </w:t>
            </w:r>
          </w:p>
          <w:tbl>
            <w:tblPr>
              <w:tblW w:w="0" w:type="auto"/>
              <w:tblCellMar>
                <w:left w:w="10" w:type="dxa"/>
                <w:right w:w="10" w:type="dxa"/>
              </w:tblCellMar>
              <w:tblLook w:val="04A0"/>
            </w:tblPr>
            <w:tblGrid>
              <w:gridCol w:w="7211"/>
              <w:gridCol w:w="345"/>
            </w:tblGrid>
            <w:tr w:rsidR="00F7642C">
              <w:tblPrEx>
                <w:tblCellMar>
                  <w:top w:w="0" w:type="dxa"/>
                  <w:bottom w:w="0" w:type="dxa"/>
                </w:tblCellMar>
              </w:tblPrEx>
              <w:trPr>
                <w:trHeight w:val="1"/>
              </w:trPr>
              <w:tc>
                <w:tcPr>
                  <w:tcW w:w="721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F7642C" w:rsidRDefault="00F7642C">
                  <w:pPr>
                    <w:spacing w:after="0" w:line="240" w:lineRule="auto"/>
                    <w:rPr>
                      <w:rFonts w:ascii="Calibri" w:eastAsia="Calibri" w:hAnsi="Calibri" w:cs="Calibri"/>
                    </w:rPr>
                  </w:pPr>
                </w:p>
              </w:tc>
              <w:tc>
                <w:tcPr>
                  <w:tcW w:w="345"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F7642C" w:rsidRDefault="00F7642C">
                  <w:pPr>
                    <w:spacing w:after="0" w:line="240" w:lineRule="auto"/>
                    <w:jc w:val="right"/>
                    <w:rPr>
                      <w:rFonts w:ascii="Calibri" w:eastAsia="Calibri" w:hAnsi="Calibri" w:cs="Calibri"/>
                    </w:rPr>
                  </w:pPr>
                  <w:r>
                    <w:object w:dxaOrig="216" w:dyaOrig="230">
                      <v:rect id="rectole0000000001" o:spid="_x0000_i1025" style="width:10.8pt;height:11.55pt" o:ole="" o:preferrelative="t" stroked="f">
                        <v:imagedata r:id="rId4" o:title=""/>
                      </v:rect>
                      <o:OLEObject Type="Embed" ProgID="StaticMetafile" ShapeID="rectole0000000001" DrawAspect="Content" ObjectID="_1667281165" r:id="rId5"/>
                    </w:object>
                  </w:r>
                </w:p>
              </w:tc>
            </w:tr>
          </w:tbl>
          <w:p w:rsidR="00F7642C" w:rsidRDefault="00F7642C">
            <w:pPr>
              <w:spacing w:after="0" w:line="240" w:lineRule="auto"/>
            </w:pPr>
          </w:p>
        </w:tc>
      </w:tr>
    </w:tbl>
    <w:p w:rsidR="00F7642C" w:rsidRDefault="00707D87">
      <w:pPr>
        <w:spacing w:after="0" w:line="240" w:lineRule="auto"/>
        <w:rPr>
          <w:rFonts w:ascii="Calibri" w:eastAsia="Calibri" w:hAnsi="Calibri" w:cs="Calibri"/>
          <w:color w:val="000000"/>
        </w:rPr>
      </w:pPr>
      <w:r>
        <w:rPr>
          <w:rFonts w:ascii="Calibri" w:eastAsia="Calibri" w:hAnsi="Calibri" w:cs="Calibri"/>
          <w:color w:val="000000"/>
        </w:rPr>
        <w:lastRenderedPageBreak/>
        <w:t> </w:t>
      </w:r>
    </w:p>
    <w:p w:rsidR="00F7642C" w:rsidRDefault="00F7642C">
      <w:pPr>
        <w:spacing w:after="0" w:line="240" w:lineRule="auto"/>
        <w:rPr>
          <w:rFonts w:ascii="Times New Roman" w:eastAsia="Times New Roman" w:hAnsi="Times New Roman" w:cs="Times New Roman"/>
          <w:sz w:val="24"/>
        </w:rPr>
      </w:pPr>
    </w:p>
    <w:sectPr w:rsidR="00F7642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F7642C"/>
    <w:rsid w:val="00707D87"/>
    <w:rsid w:val="00F7642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2674</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Ligia Jeannette Jiménez Zamora</dc:creator>
  <cp:lastModifiedBy>ljimenezz</cp:lastModifiedBy>
  <cp:revision>2</cp:revision>
  <dcterms:created xsi:type="dcterms:W3CDTF">2020-11-19T14:53:00Z</dcterms:created>
  <dcterms:modified xsi:type="dcterms:W3CDTF">2020-11-19T14:53:00Z</dcterms:modified>
</cp:coreProperties>
</file>