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72" w:rsidRPr="009C0BAE" w:rsidRDefault="00921F72" w:rsidP="009157AD">
      <w:pPr>
        <w:jc w:val="both"/>
        <w:rPr>
          <w:b/>
          <w:bCs/>
          <w:color w:val="000000"/>
          <w:u w:val="single"/>
        </w:rPr>
      </w:pPr>
      <w:r w:rsidRPr="009C0BAE">
        <w:rPr>
          <w:b/>
          <w:bCs/>
          <w:color w:val="000000"/>
          <w:u w:val="single"/>
        </w:rPr>
        <w:t xml:space="preserve">CIRCULAR No. </w:t>
      </w:r>
      <w:r w:rsidR="007401C3">
        <w:rPr>
          <w:b/>
          <w:bCs/>
          <w:color w:val="000000"/>
          <w:u w:val="single"/>
        </w:rPr>
        <w:t>121</w:t>
      </w:r>
      <w:r w:rsidR="00A50713">
        <w:rPr>
          <w:b/>
          <w:bCs/>
          <w:color w:val="000000"/>
          <w:u w:val="single"/>
        </w:rPr>
        <w:t>-2020</w:t>
      </w:r>
    </w:p>
    <w:p w:rsidR="00921F72" w:rsidRPr="009C0BAE" w:rsidRDefault="00921F72" w:rsidP="009157AD">
      <w:pPr>
        <w:jc w:val="both"/>
        <w:rPr>
          <w:b/>
          <w:bCs/>
          <w:color w:val="000000"/>
          <w:u w:val="single"/>
          <w:lang w:eastAsia="es-CR"/>
        </w:rPr>
      </w:pPr>
    </w:p>
    <w:p w:rsidR="00921F72" w:rsidRDefault="00921F72" w:rsidP="009157AD">
      <w:pPr>
        <w:jc w:val="both"/>
        <w:rPr>
          <w:color w:val="000000"/>
          <w:sz w:val="27"/>
          <w:szCs w:val="27"/>
        </w:rPr>
      </w:pPr>
      <w:r w:rsidRPr="00B63773">
        <w:rPr>
          <w:b/>
          <w:bCs/>
          <w:u w:val="single"/>
        </w:rPr>
        <w:t>Asunto</w:t>
      </w:r>
      <w:r w:rsidRPr="00B63773">
        <w:rPr>
          <w:bCs/>
        </w:rPr>
        <w:t xml:space="preserve">: </w:t>
      </w:r>
      <w:r w:rsidRPr="00B63773">
        <w:rPr>
          <w:bCs/>
        </w:rPr>
        <w:tab/>
      </w:r>
      <w:r w:rsidR="000301F7">
        <w:rPr>
          <w:color w:val="000000"/>
          <w:sz w:val="27"/>
          <w:szCs w:val="27"/>
        </w:rPr>
        <w:t>Sobre programación de visitas a territorios indígenas.</w:t>
      </w:r>
    </w:p>
    <w:p w:rsidR="000301F7" w:rsidRPr="009C0BAE" w:rsidRDefault="000301F7" w:rsidP="009157AD">
      <w:pPr>
        <w:jc w:val="both"/>
        <w:rPr>
          <w:bCs/>
        </w:rPr>
      </w:pPr>
    </w:p>
    <w:p w:rsidR="00921F72" w:rsidRPr="009C0BAE" w:rsidRDefault="00921F72" w:rsidP="009157AD">
      <w:pPr>
        <w:jc w:val="both"/>
        <w:rPr>
          <w:b/>
          <w:bCs/>
          <w:u w:val="single"/>
        </w:rPr>
      </w:pPr>
      <w:r w:rsidRPr="009C0BAE">
        <w:rPr>
          <w:b/>
          <w:bCs/>
          <w:u w:val="single"/>
        </w:rPr>
        <w:t xml:space="preserve">A LOS DESPACHOS JUDICIALES DEL PAÍS </w:t>
      </w:r>
    </w:p>
    <w:p w:rsidR="00921F72" w:rsidRPr="009C0BAE" w:rsidRDefault="00921F72" w:rsidP="009157AD">
      <w:pPr>
        <w:jc w:val="both"/>
        <w:rPr>
          <w:b/>
          <w:bCs/>
        </w:rPr>
      </w:pPr>
      <w:r w:rsidRPr="009C0BAE">
        <w:rPr>
          <w:b/>
          <w:bCs/>
          <w:u w:val="single"/>
        </w:rPr>
        <w:t>SE LES HACE SABER QUE</w:t>
      </w:r>
      <w:r w:rsidRPr="009C0BAE">
        <w:rPr>
          <w:b/>
          <w:bCs/>
        </w:rPr>
        <w:t>:</w:t>
      </w:r>
    </w:p>
    <w:p w:rsidR="00921F72" w:rsidRPr="009C0BAE" w:rsidRDefault="00921F72" w:rsidP="009157AD">
      <w:pPr>
        <w:pStyle w:val="Textodebloque2"/>
        <w:ind w:left="0" w:right="0" w:firstLine="0"/>
      </w:pPr>
    </w:p>
    <w:p w:rsidR="00B637C7" w:rsidRDefault="00921F72" w:rsidP="007E2212">
      <w:pPr>
        <w:pStyle w:val="Textodebloque2"/>
        <w:ind w:left="0" w:right="0" w:firstLine="0"/>
      </w:pPr>
      <w:r w:rsidRPr="009C0BAE">
        <w:t>El Consejo Superior d</w:t>
      </w:r>
      <w:r w:rsidR="00A50713">
        <w:t>el P</w:t>
      </w:r>
      <w:r w:rsidR="00267479">
        <w:t>oder Judicial en sesión No. 36-20</w:t>
      </w:r>
      <w:r w:rsidRPr="009C0BAE">
        <w:t xml:space="preserve"> celebrada el </w:t>
      </w:r>
      <w:r w:rsidR="00267479">
        <w:t>14de abril</w:t>
      </w:r>
      <w:r w:rsidR="007E2212">
        <w:t xml:space="preserve"> de 2020</w:t>
      </w:r>
      <w:r w:rsidRPr="009C0BAE">
        <w:t xml:space="preserve">, artículo </w:t>
      </w:r>
      <w:r w:rsidR="00267479">
        <w:t>XIX</w:t>
      </w:r>
      <w:r w:rsidR="007E2212">
        <w:t>, dispuso:</w:t>
      </w:r>
      <w:r w:rsidR="00B637C7" w:rsidRPr="00B637C7">
        <w:rPr>
          <w:rFonts w:eastAsia="Batang"/>
          <w:bCs/>
          <w:lang w:eastAsia="ar-SA"/>
        </w:rPr>
        <w:t>Instar a las oficinas judiciales que cuando programen visitas a territorios indígenas, en forma previa deben investigar sobre su cosmovisión para no vulnerar sus derechos y respetar sus costumbres desde diferentes áreas, incluyendo su alimentación y forma de preparación, horarios preferentes de atención de parte de la población; además de consultar previamente a la población indígena sus costumbres</w:t>
      </w:r>
      <w:r w:rsidR="00B637C7">
        <w:rPr>
          <w:rFonts w:eastAsia="Batang"/>
          <w:bCs/>
          <w:lang w:eastAsia="ar-SA"/>
        </w:rPr>
        <w:t>.</w:t>
      </w:r>
    </w:p>
    <w:p w:rsidR="009B537F" w:rsidRDefault="009B537F" w:rsidP="007E2212">
      <w:pPr>
        <w:pStyle w:val="Textodebloque2"/>
        <w:ind w:left="0" w:right="0" w:firstLine="0"/>
      </w:pPr>
    </w:p>
    <w:p w:rsidR="000301F7" w:rsidRPr="000301F7" w:rsidRDefault="000301F7" w:rsidP="000301F7">
      <w:pPr>
        <w:suppressAutoHyphens w:val="0"/>
        <w:spacing w:after="240" w:line="276" w:lineRule="auto"/>
        <w:jc w:val="both"/>
        <w:rPr>
          <w:rFonts w:ascii="Helvetica" w:hAnsi="Helvetica" w:cs="Helvetica"/>
          <w:lang w:eastAsia="es-CR"/>
        </w:rPr>
      </w:pPr>
      <w:r w:rsidRPr="00660E63">
        <w:rPr>
          <w:b/>
          <w:bCs/>
          <w:lang w:eastAsia="es-CR"/>
        </w:rPr>
        <w:t>Publíquese una sola vez en el Boletín Judicial.</w:t>
      </w:r>
      <w:bookmarkStart w:id="0" w:name="_GoBack"/>
      <w:bookmarkEnd w:id="0"/>
    </w:p>
    <w:p w:rsidR="000301F7" w:rsidRDefault="000301F7" w:rsidP="007E2212">
      <w:pPr>
        <w:pStyle w:val="Textodebloque2"/>
        <w:ind w:left="0" w:right="0" w:firstLine="0"/>
      </w:pPr>
    </w:p>
    <w:p w:rsidR="00921F72" w:rsidRPr="009C0BAE" w:rsidRDefault="00921F72" w:rsidP="009157AD">
      <w:pPr>
        <w:suppressAutoHyphens w:val="0"/>
        <w:autoSpaceDE w:val="0"/>
        <w:autoSpaceDN w:val="0"/>
        <w:adjustRightInd w:val="0"/>
        <w:ind w:left="851" w:right="851"/>
        <w:jc w:val="both"/>
        <w:rPr>
          <w:lang w:eastAsia="es-ES"/>
        </w:rPr>
      </w:pPr>
      <w:r w:rsidRPr="009C0BAE">
        <w:rPr>
          <w:b/>
          <w:bCs/>
        </w:rPr>
        <w:t xml:space="preserve">San José, </w:t>
      </w:r>
      <w:r w:rsidR="00B637C7">
        <w:rPr>
          <w:b/>
          <w:bCs/>
        </w:rPr>
        <w:t>13</w:t>
      </w:r>
      <w:r w:rsidRPr="009C0BAE">
        <w:rPr>
          <w:b/>
          <w:bCs/>
        </w:rPr>
        <w:t xml:space="preserve"> de </w:t>
      </w:r>
      <w:r w:rsidR="00B637C7">
        <w:rPr>
          <w:b/>
          <w:bCs/>
        </w:rPr>
        <w:t>junio</w:t>
      </w:r>
      <w:r w:rsidR="00F63EE8">
        <w:rPr>
          <w:b/>
          <w:bCs/>
        </w:rPr>
        <w:t xml:space="preserve"> de 2020</w:t>
      </w:r>
    </w:p>
    <w:p w:rsidR="00921F72" w:rsidRPr="009C0BAE" w:rsidRDefault="00921F72" w:rsidP="009157AD">
      <w:pPr>
        <w:ind w:left="851" w:right="851"/>
        <w:jc w:val="both"/>
        <w:rPr>
          <w:rFonts w:eastAsia="Arial Unicode MS"/>
          <w:b/>
          <w:bCs/>
          <w:kern w:val="2"/>
          <w:lang w:eastAsia="es-CR"/>
        </w:rPr>
      </w:pPr>
    </w:p>
    <w:p w:rsidR="00921F72" w:rsidRPr="009C0BAE" w:rsidRDefault="00921F72" w:rsidP="009157AD">
      <w:pPr>
        <w:ind w:left="851" w:right="851"/>
        <w:jc w:val="both"/>
        <w:rPr>
          <w:rFonts w:eastAsia="Arial Unicode MS"/>
          <w:b/>
          <w:bCs/>
          <w:kern w:val="2"/>
          <w:lang w:eastAsia="es-CR"/>
        </w:rPr>
      </w:pPr>
    </w:p>
    <w:p w:rsidR="00921F72" w:rsidRPr="009C0BAE" w:rsidRDefault="00921F72" w:rsidP="009157AD">
      <w:pPr>
        <w:ind w:left="851" w:right="851"/>
        <w:jc w:val="both"/>
        <w:rPr>
          <w:rFonts w:eastAsia="Arial Unicode MS"/>
          <w:b/>
          <w:bCs/>
          <w:kern w:val="2"/>
          <w:lang w:eastAsia="es-CR"/>
        </w:rPr>
      </w:pPr>
    </w:p>
    <w:p w:rsidR="00921F72" w:rsidRPr="009C0BAE" w:rsidRDefault="00921F72" w:rsidP="009157AD">
      <w:pPr>
        <w:pStyle w:val="Ttulo51"/>
        <w:keepNext w:val="0"/>
        <w:tabs>
          <w:tab w:val="clear" w:pos="0"/>
          <w:tab w:val="left" w:pos="708"/>
        </w:tabs>
        <w:ind w:left="851" w:right="851"/>
        <w:jc w:val="both"/>
        <w:rPr>
          <w:rFonts w:eastAsia="Times New Roman"/>
          <w:i w:val="0"/>
          <w:iCs w:val="0"/>
          <w:sz w:val="24"/>
          <w:szCs w:val="24"/>
          <w:u w:val="none"/>
        </w:rPr>
      </w:pPr>
      <w:r w:rsidRPr="009C0BAE">
        <w:rPr>
          <w:rFonts w:eastAsia="Times New Roman"/>
          <w:i w:val="0"/>
          <w:iCs w:val="0"/>
          <w:sz w:val="24"/>
          <w:szCs w:val="24"/>
          <w:u w:val="none"/>
        </w:rPr>
        <w:t>Lic. Carlos Toscano Mora Rodríguez</w:t>
      </w:r>
    </w:p>
    <w:p w:rsidR="00921F72" w:rsidRPr="009C0BAE" w:rsidRDefault="00921F72" w:rsidP="009157AD">
      <w:pPr>
        <w:pStyle w:val="Ttulo51"/>
        <w:keepNext w:val="0"/>
        <w:tabs>
          <w:tab w:val="clear" w:pos="0"/>
          <w:tab w:val="left" w:pos="708"/>
        </w:tabs>
        <w:ind w:left="851" w:right="851"/>
        <w:jc w:val="both"/>
        <w:rPr>
          <w:rFonts w:eastAsia="Times New Roman"/>
          <w:i w:val="0"/>
          <w:iCs w:val="0"/>
          <w:sz w:val="24"/>
          <w:szCs w:val="24"/>
          <w:u w:val="none"/>
        </w:rPr>
      </w:pPr>
      <w:r w:rsidRPr="009C0BAE">
        <w:rPr>
          <w:rFonts w:eastAsia="Times New Roman"/>
          <w:i w:val="0"/>
          <w:iCs w:val="0"/>
          <w:sz w:val="24"/>
          <w:szCs w:val="24"/>
          <w:u w:val="none"/>
        </w:rPr>
        <w:t>Subsecretario General interino</w:t>
      </w:r>
    </w:p>
    <w:p w:rsidR="00921F72" w:rsidRPr="009C0BAE" w:rsidRDefault="00921F72" w:rsidP="009157AD">
      <w:pPr>
        <w:ind w:left="851" w:right="851"/>
        <w:jc w:val="both"/>
        <w:rPr>
          <w:b/>
          <w:bCs/>
        </w:rPr>
      </w:pPr>
      <w:r w:rsidRPr="009C0BAE">
        <w:rPr>
          <w:b/>
          <w:bCs/>
        </w:rPr>
        <w:t>Corte Suprema de Justicia</w:t>
      </w:r>
    </w:p>
    <w:p w:rsidR="00921F72" w:rsidRPr="009C0BAE" w:rsidRDefault="00921F72" w:rsidP="009157AD">
      <w:pPr>
        <w:jc w:val="both"/>
      </w:pPr>
    </w:p>
    <w:p w:rsidR="00921F72" w:rsidRPr="009C0BAE" w:rsidRDefault="00921F72" w:rsidP="009157AD">
      <w:pPr>
        <w:jc w:val="both"/>
      </w:pPr>
    </w:p>
    <w:p w:rsidR="00921F72" w:rsidRDefault="00921F72" w:rsidP="009157AD">
      <w:pPr>
        <w:jc w:val="both"/>
        <w:rPr>
          <w:bCs/>
        </w:rPr>
      </w:pPr>
      <w:proofErr w:type="spellStart"/>
      <w:r w:rsidRPr="009C0BAE">
        <w:t>Refs</w:t>
      </w:r>
      <w:proofErr w:type="spellEnd"/>
      <w:r w:rsidR="00955EEF" w:rsidRPr="009C0BAE">
        <w:t>.</w:t>
      </w:r>
      <w:r w:rsidRPr="009C0BAE">
        <w:t xml:space="preserve">: </w:t>
      </w:r>
      <w:r w:rsidR="00B637C7">
        <w:rPr>
          <w:bCs/>
        </w:rPr>
        <w:t>3993</w:t>
      </w:r>
      <w:r w:rsidR="003D4FBF">
        <w:rPr>
          <w:bCs/>
        </w:rPr>
        <w:t>-20</w:t>
      </w:r>
    </w:p>
    <w:p w:rsidR="003D4FBF" w:rsidRPr="003D4FBF" w:rsidRDefault="003D4FBF" w:rsidP="009157AD">
      <w:pPr>
        <w:jc w:val="both"/>
        <w:rPr>
          <w:bCs/>
        </w:rPr>
      </w:pPr>
      <w:r>
        <w:rPr>
          <w:bCs/>
        </w:rPr>
        <w:t>LSA</w:t>
      </w:r>
    </w:p>
    <w:p w:rsidR="00834F47" w:rsidRPr="009C0BAE" w:rsidRDefault="00B82684" w:rsidP="009157AD">
      <w:pPr>
        <w:jc w:val="both"/>
      </w:pPr>
    </w:p>
    <w:sectPr w:rsidR="00834F47" w:rsidRPr="009C0BAE" w:rsidSect="00F668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921F72"/>
    <w:rsid w:val="00021DFF"/>
    <w:rsid w:val="000301F7"/>
    <w:rsid w:val="00167F70"/>
    <w:rsid w:val="00194B54"/>
    <w:rsid w:val="00267479"/>
    <w:rsid w:val="002A6B97"/>
    <w:rsid w:val="003C2D1B"/>
    <w:rsid w:val="003D4FBF"/>
    <w:rsid w:val="0040089A"/>
    <w:rsid w:val="004C1F31"/>
    <w:rsid w:val="00671363"/>
    <w:rsid w:val="00725038"/>
    <w:rsid w:val="00737856"/>
    <w:rsid w:val="007401C3"/>
    <w:rsid w:val="007E2212"/>
    <w:rsid w:val="009157AD"/>
    <w:rsid w:val="00921F72"/>
    <w:rsid w:val="00955EEF"/>
    <w:rsid w:val="00990AE9"/>
    <w:rsid w:val="009B537F"/>
    <w:rsid w:val="009C0BAE"/>
    <w:rsid w:val="00A42F3D"/>
    <w:rsid w:val="00A50713"/>
    <w:rsid w:val="00A71976"/>
    <w:rsid w:val="00B35CF5"/>
    <w:rsid w:val="00B63773"/>
    <w:rsid w:val="00B637C7"/>
    <w:rsid w:val="00B82684"/>
    <w:rsid w:val="00BC58CF"/>
    <w:rsid w:val="00C36E93"/>
    <w:rsid w:val="00CE3215"/>
    <w:rsid w:val="00D97276"/>
    <w:rsid w:val="00E35483"/>
    <w:rsid w:val="00F35F9D"/>
    <w:rsid w:val="00F6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before="100" w:beforeAutospacing="1" w:after="100" w:afterAutospacing="1"/>
        <w:ind w:left="85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72"/>
    <w:pPr>
      <w:suppressAutoHyphens/>
      <w:spacing w:before="0" w:beforeAutospacing="0" w:after="0" w:afterAutospacing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bloque2">
    <w:name w:val="Texto de bloque2"/>
    <w:basedOn w:val="Normal"/>
    <w:rsid w:val="00921F72"/>
    <w:pPr>
      <w:widowControl w:val="0"/>
      <w:suppressAutoHyphens w:val="0"/>
      <w:ind w:left="851" w:right="851" w:firstLine="709"/>
      <w:jc w:val="both"/>
    </w:pPr>
  </w:style>
  <w:style w:type="paragraph" w:customStyle="1" w:styleId="Ttulo51">
    <w:name w:val="Título 51"/>
    <w:next w:val="Normal"/>
    <w:rsid w:val="00921F72"/>
    <w:pPr>
      <w:keepNext/>
      <w:widowControl w:val="0"/>
      <w:tabs>
        <w:tab w:val="left" w:pos="0"/>
      </w:tabs>
      <w:suppressAutoHyphens/>
      <w:spacing w:before="0" w:beforeAutospacing="0" w:after="0" w:afterAutospacing="0"/>
      <w:ind w:left="0" w:right="0" w:firstLine="0"/>
      <w:jc w:val="center"/>
    </w:pPr>
    <w:rPr>
      <w:rFonts w:ascii="Times New Roman" w:eastAsia="Lucida Sans Unicode" w:hAnsi="Times New Roman" w:cs="Times New Roman"/>
      <w:b/>
      <w:bCs/>
      <w:i/>
      <w:iCs/>
      <w:sz w:val="26"/>
      <w:szCs w:val="26"/>
      <w:u w:val="single"/>
      <w:shd w:val="clear" w:color="auto" w:fill="FFFFFF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aromanc</dc:creator>
  <cp:lastModifiedBy>ljimenezz</cp:lastModifiedBy>
  <cp:revision>2</cp:revision>
  <dcterms:created xsi:type="dcterms:W3CDTF">2020-11-19T15:42:00Z</dcterms:created>
  <dcterms:modified xsi:type="dcterms:W3CDTF">2020-11-19T15:42:00Z</dcterms:modified>
</cp:coreProperties>
</file>