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72" w:rsidRPr="00BB6DAC" w:rsidRDefault="00921F72" w:rsidP="009C0BAE">
      <w:pPr>
        <w:ind w:firstLine="709"/>
        <w:jc w:val="both"/>
        <w:rPr>
          <w:b/>
          <w:bCs/>
          <w:u w:val="single"/>
        </w:rPr>
      </w:pPr>
      <w:r w:rsidRPr="00BB6DAC">
        <w:rPr>
          <w:b/>
          <w:bCs/>
          <w:u w:val="single"/>
        </w:rPr>
        <w:t xml:space="preserve">CIRCULAR No. </w:t>
      </w:r>
      <w:r w:rsidR="00BB6DAC" w:rsidRPr="00BB6DAC">
        <w:rPr>
          <w:b/>
          <w:bCs/>
          <w:u w:val="single"/>
        </w:rPr>
        <w:t>192</w:t>
      </w:r>
      <w:r w:rsidRPr="00BB6DAC">
        <w:rPr>
          <w:b/>
          <w:bCs/>
          <w:u w:val="single"/>
        </w:rPr>
        <w:t>-2019</w:t>
      </w:r>
    </w:p>
    <w:p w:rsidR="00921F72" w:rsidRPr="009C0BAE" w:rsidRDefault="00921F72" w:rsidP="009C0BAE">
      <w:pPr>
        <w:ind w:firstLine="709"/>
        <w:jc w:val="both"/>
        <w:rPr>
          <w:b/>
          <w:bCs/>
          <w:color w:val="000000"/>
          <w:u w:val="single"/>
          <w:lang w:eastAsia="es-CR"/>
        </w:rPr>
      </w:pPr>
    </w:p>
    <w:p w:rsidR="00211AFB" w:rsidRDefault="00921F72" w:rsidP="00175061">
      <w:pPr>
        <w:ind w:firstLine="709"/>
        <w:jc w:val="both"/>
        <w:rPr>
          <w:bCs/>
        </w:rPr>
      </w:pPr>
      <w:bookmarkStart w:id="0" w:name="_Hlk22815979"/>
      <w:r w:rsidRPr="009C0BAE">
        <w:rPr>
          <w:b/>
          <w:bCs/>
          <w:u w:val="single"/>
        </w:rPr>
        <w:t>Asunto</w:t>
      </w:r>
      <w:r w:rsidRPr="009C0BAE">
        <w:rPr>
          <w:bCs/>
        </w:rPr>
        <w:t>:</w:t>
      </w:r>
      <w:r w:rsidR="00211AFB">
        <w:rPr>
          <w:bCs/>
        </w:rPr>
        <w:t xml:space="preserve"> Deber de l</w:t>
      </w:r>
      <w:r w:rsidR="00175061">
        <w:rPr>
          <w:bCs/>
        </w:rPr>
        <w:t>as personas servidor</w:t>
      </w:r>
      <w:bookmarkStart w:id="1" w:name="_GoBack"/>
      <w:bookmarkEnd w:id="1"/>
      <w:r w:rsidR="00175061">
        <w:rPr>
          <w:bCs/>
        </w:rPr>
        <w:t xml:space="preserve">as judiciales de </w:t>
      </w:r>
      <w:r w:rsidR="00211AFB">
        <w:rPr>
          <w:bCs/>
        </w:rPr>
        <w:t>u</w:t>
      </w:r>
      <w:r w:rsidR="00906D36" w:rsidRPr="00906D36">
        <w:rPr>
          <w:bCs/>
        </w:rPr>
        <w:t>tili</w:t>
      </w:r>
      <w:r w:rsidR="00906D36">
        <w:rPr>
          <w:bCs/>
        </w:rPr>
        <w:t>zar</w:t>
      </w:r>
      <w:r w:rsidR="00906D36" w:rsidRPr="00906D36">
        <w:rPr>
          <w:bCs/>
        </w:rPr>
        <w:t xml:space="preserve"> lenguaje claro y sencillo</w:t>
      </w:r>
      <w:bookmarkEnd w:id="0"/>
      <w:r w:rsidR="00211AFB">
        <w:rPr>
          <w:bCs/>
        </w:rPr>
        <w:t xml:space="preserve"> en la atención de </w:t>
      </w:r>
      <w:r w:rsidR="00175061">
        <w:rPr>
          <w:bCs/>
        </w:rPr>
        <w:t>p</w:t>
      </w:r>
      <w:r w:rsidR="00211AFB" w:rsidRPr="00211AFB">
        <w:rPr>
          <w:bCs/>
        </w:rPr>
        <w:t xml:space="preserve">ersonas </w:t>
      </w:r>
      <w:r w:rsidR="00211AFB" w:rsidRPr="00906D36">
        <w:rPr>
          <w:bCs/>
        </w:rPr>
        <w:t>indígenas</w:t>
      </w:r>
      <w:r w:rsidR="00211AFB">
        <w:rPr>
          <w:bCs/>
        </w:rPr>
        <w:t>.</w:t>
      </w:r>
    </w:p>
    <w:p w:rsidR="00921F72" w:rsidRPr="009C0BAE" w:rsidRDefault="00921F72" w:rsidP="009C0BAE">
      <w:pPr>
        <w:ind w:firstLine="709"/>
        <w:jc w:val="both"/>
        <w:rPr>
          <w:bCs/>
        </w:rPr>
      </w:pPr>
      <w:r w:rsidRPr="009C0BAE">
        <w:rPr>
          <w:bCs/>
        </w:rPr>
        <w:tab/>
      </w:r>
    </w:p>
    <w:p w:rsidR="00921F72" w:rsidRPr="009C0BAE" w:rsidRDefault="00921F72" w:rsidP="009C0BAE">
      <w:pPr>
        <w:ind w:firstLine="709"/>
        <w:jc w:val="both"/>
        <w:rPr>
          <w:bCs/>
        </w:rPr>
      </w:pPr>
    </w:p>
    <w:p w:rsidR="00921F72" w:rsidRPr="009C0BAE" w:rsidRDefault="00921F72" w:rsidP="009C0BAE">
      <w:pPr>
        <w:ind w:firstLine="709"/>
        <w:jc w:val="both"/>
        <w:rPr>
          <w:b/>
          <w:bCs/>
          <w:u w:val="single"/>
        </w:rPr>
      </w:pPr>
      <w:r w:rsidRPr="009C0BAE">
        <w:rPr>
          <w:b/>
          <w:bCs/>
          <w:u w:val="single"/>
        </w:rPr>
        <w:t xml:space="preserve">A LOS DESPACHOS JUDICIALES DEL PAÍS </w:t>
      </w:r>
    </w:p>
    <w:p w:rsidR="00921F72" w:rsidRPr="009C0BAE" w:rsidRDefault="00921F72" w:rsidP="009C0BAE">
      <w:pPr>
        <w:ind w:firstLine="709"/>
        <w:jc w:val="both"/>
        <w:rPr>
          <w:b/>
          <w:bCs/>
        </w:rPr>
      </w:pPr>
      <w:r w:rsidRPr="009C0BAE">
        <w:rPr>
          <w:b/>
          <w:bCs/>
          <w:u w:val="single"/>
        </w:rPr>
        <w:t>SE LES HACE SABER QUE</w:t>
      </w:r>
      <w:r w:rsidRPr="009C0BAE">
        <w:rPr>
          <w:b/>
          <w:bCs/>
        </w:rPr>
        <w:t>:</w:t>
      </w:r>
    </w:p>
    <w:p w:rsidR="00921F72" w:rsidRPr="009C0BAE" w:rsidRDefault="00921F72" w:rsidP="009C0BAE">
      <w:pPr>
        <w:pStyle w:val="Textodebloque2"/>
        <w:ind w:left="0" w:right="0"/>
      </w:pPr>
    </w:p>
    <w:p w:rsidR="00921F72" w:rsidRPr="009C0BAE" w:rsidRDefault="00921F72" w:rsidP="00D402A7">
      <w:pPr>
        <w:pStyle w:val="Textodebloque2"/>
        <w:ind w:left="0" w:right="0"/>
        <w:rPr>
          <w:bCs/>
        </w:rPr>
      </w:pPr>
      <w:r w:rsidRPr="009C0BAE">
        <w:t xml:space="preserve">El Consejo Superior del Poder Judicial en sesión No. </w:t>
      </w:r>
      <w:r w:rsidR="00906D36">
        <w:t>89</w:t>
      </w:r>
      <w:r w:rsidRPr="009C0BAE">
        <w:t xml:space="preserve">-19 celebrada el </w:t>
      </w:r>
      <w:r w:rsidR="00906D36">
        <w:t>15</w:t>
      </w:r>
      <w:r w:rsidRPr="009C0BAE">
        <w:t>de</w:t>
      </w:r>
      <w:r w:rsidR="00906D36">
        <w:t xml:space="preserve"> octubre</w:t>
      </w:r>
      <w:r w:rsidRPr="009C0BAE">
        <w:t xml:space="preserve"> de 2019, artículo </w:t>
      </w:r>
      <w:r w:rsidR="00906D36">
        <w:t>L</w:t>
      </w:r>
      <w:r w:rsidR="009C0BAE">
        <w:t>XXX</w:t>
      </w:r>
      <w:r w:rsidR="00906D36">
        <w:t>IV</w:t>
      </w:r>
      <w:r w:rsidRPr="009C0BAE">
        <w:t xml:space="preserve">, dispuso </w:t>
      </w:r>
      <w:r w:rsidR="00D402A7">
        <w:rPr>
          <w:bCs/>
        </w:rPr>
        <w:t>a</w:t>
      </w:r>
      <w:r w:rsidR="00D402A7" w:rsidRPr="00D402A7">
        <w:rPr>
          <w:bCs/>
        </w:rPr>
        <w:t xml:space="preserve">coger la recomendación remitida por la Unidad de Acceso a la Justicia, en oficio CACC-301-2019, del 4 de octubre de 2019, </w:t>
      </w:r>
      <w:r w:rsidR="00906D36">
        <w:rPr>
          <w:bCs/>
        </w:rPr>
        <w:t xml:space="preserve">respecto a </w:t>
      </w:r>
      <w:r w:rsidR="00D402A7" w:rsidRPr="00D402A7">
        <w:rPr>
          <w:bCs/>
        </w:rPr>
        <w:t xml:space="preserve">instar a las personas servidoras judiciales que atiendan procesos vinculados con personas indígenas para que en las resoluciones que emitan en forma escrita u oral y en las audiencias, utilicen un lenguaje claro y sencillo; comprensible para esa población y para las personas traductoras e intérpretes a fin de facilitar el proceso de transmisión de la información. </w:t>
      </w:r>
    </w:p>
    <w:p w:rsidR="00921F72" w:rsidRPr="009C0BAE" w:rsidRDefault="00921F72" w:rsidP="009C0BAE">
      <w:pPr>
        <w:suppressAutoHyphens w:val="0"/>
        <w:autoSpaceDE w:val="0"/>
        <w:autoSpaceDN w:val="0"/>
        <w:adjustRightInd w:val="0"/>
        <w:ind w:left="851" w:right="851" w:firstLine="567"/>
        <w:jc w:val="both"/>
      </w:pPr>
    </w:p>
    <w:p w:rsidR="00921F72" w:rsidRPr="009C0BAE" w:rsidRDefault="00921F72" w:rsidP="009C0BAE">
      <w:pPr>
        <w:suppressAutoHyphens w:val="0"/>
        <w:autoSpaceDE w:val="0"/>
        <w:autoSpaceDN w:val="0"/>
        <w:adjustRightInd w:val="0"/>
        <w:ind w:left="851" w:right="851" w:firstLine="567"/>
        <w:jc w:val="both"/>
        <w:rPr>
          <w:b/>
          <w:bCs/>
        </w:rPr>
      </w:pPr>
    </w:p>
    <w:p w:rsidR="00921F72" w:rsidRPr="009C0BAE" w:rsidRDefault="00921F72" w:rsidP="009C0BAE">
      <w:pPr>
        <w:suppressAutoHyphens w:val="0"/>
        <w:autoSpaceDE w:val="0"/>
        <w:autoSpaceDN w:val="0"/>
        <w:adjustRightInd w:val="0"/>
        <w:ind w:left="851" w:right="851" w:firstLine="567"/>
        <w:jc w:val="both"/>
        <w:rPr>
          <w:lang w:eastAsia="es-ES"/>
        </w:rPr>
      </w:pPr>
      <w:r w:rsidRPr="009C0BAE">
        <w:rPr>
          <w:b/>
          <w:bCs/>
        </w:rPr>
        <w:t xml:space="preserve">San José, </w:t>
      </w:r>
      <w:r w:rsidR="00906D36">
        <w:rPr>
          <w:b/>
          <w:bCs/>
        </w:rPr>
        <w:t>24</w:t>
      </w:r>
      <w:r w:rsidRPr="009C0BAE">
        <w:rPr>
          <w:b/>
          <w:bCs/>
        </w:rPr>
        <w:t xml:space="preserve"> de </w:t>
      </w:r>
      <w:r w:rsidR="00906D36">
        <w:rPr>
          <w:b/>
          <w:bCs/>
        </w:rPr>
        <w:t>octubre</w:t>
      </w:r>
      <w:r w:rsidRPr="009C0BAE">
        <w:rPr>
          <w:b/>
          <w:bCs/>
        </w:rPr>
        <w:t xml:space="preserve"> de 2019</w:t>
      </w:r>
    </w:p>
    <w:p w:rsidR="00921F72" w:rsidRPr="009C0BAE" w:rsidRDefault="00921F72" w:rsidP="009C0BAE">
      <w:pPr>
        <w:ind w:left="851" w:right="851" w:firstLine="567"/>
        <w:jc w:val="both"/>
        <w:rPr>
          <w:rFonts w:eastAsia="Arial Unicode MS"/>
          <w:b/>
          <w:bCs/>
          <w:kern w:val="2"/>
          <w:lang w:eastAsia="es-CR"/>
        </w:rPr>
      </w:pPr>
    </w:p>
    <w:p w:rsidR="00921F72" w:rsidRPr="009C0BAE" w:rsidRDefault="00921F72" w:rsidP="009C0BAE">
      <w:pPr>
        <w:ind w:left="851" w:right="851" w:firstLine="567"/>
        <w:jc w:val="both"/>
        <w:rPr>
          <w:rFonts w:eastAsia="Arial Unicode MS"/>
          <w:b/>
          <w:bCs/>
          <w:kern w:val="2"/>
          <w:lang w:eastAsia="es-CR"/>
        </w:rPr>
      </w:pPr>
    </w:p>
    <w:p w:rsidR="00921F72" w:rsidRDefault="00921F72" w:rsidP="009C0BAE">
      <w:pPr>
        <w:ind w:left="851" w:right="851" w:firstLine="567"/>
        <w:jc w:val="both"/>
        <w:rPr>
          <w:rFonts w:eastAsia="Arial Unicode MS"/>
          <w:b/>
          <w:bCs/>
          <w:kern w:val="2"/>
          <w:lang w:eastAsia="es-CR"/>
        </w:rPr>
      </w:pPr>
    </w:p>
    <w:p w:rsidR="00BB6DAC" w:rsidRPr="009C0BAE" w:rsidRDefault="00BB6DAC" w:rsidP="009C0BAE">
      <w:pPr>
        <w:ind w:left="851" w:right="851" w:firstLine="567"/>
        <w:jc w:val="both"/>
        <w:rPr>
          <w:rFonts w:eastAsia="Arial Unicode MS"/>
          <w:b/>
          <w:bCs/>
          <w:kern w:val="2"/>
          <w:lang w:eastAsia="es-CR"/>
        </w:rPr>
      </w:pPr>
    </w:p>
    <w:p w:rsidR="00921F72" w:rsidRPr="009C0BAE" w:rsidRDefault="00921F72" w:rsidP="009C0BAE">
      <w:pPr>
        <w:pStyle w:val="Ttulo51"/>
        <w:keepNext w:val="0"/>
        <w:tabs>
          <w:tab w:val="clear" w:pos="0"/>
          <w:tab w:val="left" w:pos="708"/>
        </w:tabs>
        <w:ind w:left="851" w:right="851"/>
        <w:jc w:val="both"/>
        <w:rPr>
          <w:rFonts w:eastAsia="Times New Roman"/>
          <w:i w:val="0"/>
          <w:iCs w:val="0"/>
          <w:sz w:val="24"/>
          <w:szCs w:val="24"/>
          <w:u w:val="none"/>
        </w:rPr>
      </w:pPr>
      <w:r w:rsidRPr="009C0BAE">
        <w:rPr>
          <w:rFonts w:eastAsia="Times New Roman"/>
          <w:i w:val="0"/>
          <w:iCs w:val="0"/>
          <w:sz w:val="24"/>
          <w:szCs w:val="24"/>
          <w:u w:val="none"/>
        </w:rPr>
        <w:t>Lic. Carlos Toscano Mora Rodríguez</w:t>
      </w:r>
    </w:p>
    <w:p w:rsidR="00921F72" w:rsidRPr="009C0BAE" w:rsidRDefault="00921F72" w:rsidP="009C0BAE">
      <w:pPr>
        <w:pStyle w:val="Ttulo51"/>
        <w:keepNext w:val="0"/>
        <w:tabs>
          <w:tab w:val="clear" w:pos="0"/>
          <w:tab w:val="left" w:pos="708"/>
        </w:tabs>
        <w:ind w:left="851" w:right="851"/>
        <w:jc w:val="both"/>
        <w:rPr>
          <w:rFonts w:eastAsia="Times New Roman"/>
          <w:i w:val="0"/>
          <w:iCs w:val="0"/>
          <w:sz w:val="24"/>
          <w:szCs w:val="24"/>
          <w:u w:val="none"/>
        </w:rPr>
      </w:pPr>
      <w:r w:rsidRPr="009C0BAE">
        <w:rPr>
          <w:rFonts w:eastAsia="Times New Roman"/>
          <w:i w:val="0"/>
          <w:iCs w:val="0"/>
          <w:sz w:val="24"/>
          <w:szCs w:val="24"/>
          <w:u w:val="none"/>
        </w:rPr>
        <w:t>Subsecretario General interino</w:t>
      </w:r>
    </w:p>
    <w:p w:rsidR="00921F72" w:rsidRPr="009C0BAE" w:rsidRDefault="00921F72" w:rsidP="009C0BAE">
      <w:pPr>
        <w:ind w:left="851" w:right="851"/>
        <w:jc w:val="both"/>
        <w:rPr>
          <w:b/>
          <w:bCs/>
        </w:rPr>
      </w:pPr>
      <w:r w:rsidRPr="009C0BAE">
        <w:rPr>
          <w:b/>
          <w:bCs/>
        </w:rPr>
        <w:t>Corte Suprema de Justicia</w:t>
      </w:r>
    </w:p>
    <w:p w:rsidR="00921F72" w:rsidRPr="009C0BAE" w:rsidRDefault="00921F72" w:rsidP="009C0BAE">
      <w:pPr>
        <w:jc w:val="both"/>
      </w:pPr>
    </w:p>
    <w:p w:rsidR="00921F72" w:rsidRDefault="00921F72" w:rsidP="009C0BAE">
      <w:pPr>
        <w:jc w:val="both"/>
      </w:pPr>
    </w:p>
    <w:p w:rsidR="00BB6DAC" w:rsidRPr="009C0BAE" w:rsidRDefault="00BB6DAC" w:rsidP="009C0BAE">
      <w:pPr>
        <w:jc w:val="both"/>
      </w:pPr>
    </w:p>
    <w:p w:rsidR="00921F72" w:rsidRPr="00906D36" w:rsidRDefault="00921F72" w:rsidP="009C0BAE">
      <w:pPr>
        <w:jc w:val="both"/>
        <w:rPr>
          <w:bCs/>
        </w:rPr>
      </w:pPr>
      <w:proofErr w:type="spellStart"/>
      <w:r w:rsidRPr="00906D36">
        <w:t>Refs</w:t>
      </w:r>
      <w:proofErr w:type="spellEnd"/>
      <w:r w:rsidR="00955EEF" w:rsidRPr="00906D36">
        <w:t>.</w:t>
      </w:r>
      <w:r w:rsidRPr="00906D36">
        <w:t xml:space="preserve">: </w:t>
      </w:r>
      <w:r w:rsidR="00906D36" w:rsidRPr="00906D36">
        <w:t>5484-19 / 12851-19</w:t>
      </w:r>
      <w:r w:rsidR="00A71976" w:rsidRPr="00906D36">
        <w:rPr>
          <w:bCs/>
        </w:rPr>
        <w:t>-19</w:t>
      </w:r>
    </w:p>
    <w:p w:rsidR="00921F72" w:rsidRPr="00906D36" w:rsidRDefault="00906D36" w:rsidP="009C0BAE">
      <w:pPr>
        <w:jc w:val="both"/>
      </w:pPr>
      <w:r>
        <w:rPr>
          <w:bCs/>
        </w:rPr>
        <w:t>VFS</w:t>
      </w:r>
    </w:p>
    <w:p w:rsidR="00834F47" w:rsidRPr="009C0BAE" w:rsidRDefault="00EC1940" w:rsidP="009C0BAE">
      <w:pPr>
        <w:jc w:val="both"/>
      </w:pPr>
    </w:p>
    <w:sectPr w:rsidR="00834F47" w:rsidRPr="009C0BAE" w:rsidSect="00F668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F72"/>
    <w:rsid w:val="00175061"/>
    <w:rsid w:val="00211AFB"/>
    <w:rsid w:val="002653DB"/>
    <w:rsid w:val="004173F0"/>
    <w:rsid w:val="004C1F31"/>
    <w:rsid w:val="006531BE"/>
    <w:rsid w:val="00655263"/>
    <w:rsid w:val="00671363"/>
    <w:rsid w:val="008B4CAD"/>
    <w:rsid w:val="00906D36"/>
    <w:rsid w:val="00921F72"/>
    <w:rsid w:val="00955EEF"/>
    <w:rsid w:val="009C0BAE"/>
    <w:rsid w:val="00A42F3D"/>
    <w:rsid w:val="00A71976"/>
    <w:rsid w:val="00A82C9C"/>
    <w:rsid w:val="00BB6DAC"/>
    <w:rsid w:val="00C36E93"/>
    <w:rsid w:val="00CE3215"/>
    <w:rsid w:val="00D402A7"/>
    <w:rsid w:val="00EC1940"/>
    <w:rsid w:val="00FC3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before="100" w:beforeAutospacing="1" w:after="100" w:afterAutospacing="1"/>
        <w:ind w:left="851" w:right="851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F72"/>
    <w:pPr>
      <w:suppressAutoHyphens/>
      <w:spacing w:before="0" w:beforeAutospacing="0" w:after="0" w:afterAutospacing="0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bloque2">
    <w:name w:val="Texto de bloque2"/>
    <w:basedOn w:val="Normal"/>
    <w:rsid w:val="00921F72"/>
    <w:pPr>
      <w:widowControl w:val="0"/>
      <w:suppressAutoHyphens w:val="0"/>
      <w:ind w:left="851" w:right="851" w:firstLine="709"/>
      <w:jc w:val="both"/>
    </w:pPr>
  </w:style>
  <w:style w:type="paragraph" w:customStyle="1" w:styleId="Ttulo51">
    <w:name w:val="Título 51"/>
    <w:next w:val="Normal"/>
    <w:rsid w:val="00921F72"/>
    <w:pPr>
      <w:keepNext/>
      <w:widowControl w:val="0"/>
      <w:tabs>
        <w:tab w:val="left" w:pos="0"/>
      </w:tabs>
      <w:suppressAutoHyphens/>
      <w:spacing w:before="0" w:beforeAutospacing="0" w:after="0" w:afterAutospacing="0"/>
      <w:ind w:left="0" w:right="0" w:firstLine="0"/>
      <w:jc w:val="center"/>
    </w:pPr>
    <w:rPr>
      <w:rFonts w:ascii="Times New Roman" w:eastAsia="Lucida Sans Unicode" w:hAnsi="Times New Roman" w:cs="Times New Roman"/>
      <w:b/>
      <w:bCs/>
      <w:i/>
      <w:iCs/>
      <w:sz w:val="26"/>
      <w:szCs w:val="26"/>
      <w:u w:val="single"/>
      <w:shd w:val="clear" w:color="auto" w:fill="FFFFFF"/>
      <w:lang w:val="es-ES" w:eastAsia="zh-CN"/>
    </w:rPr>
  </w:style>
  <w:style w:type="paragraph" w:styleId="Textoindependiente">
    <w:name w:val="Body Text"/>
    <w:basedOn w:val="Normal"/>
    <w:link w:val="TextoindependienteCar"/>
    <w:qFormat/>
    <w:rsid w:val="004173F0"/>
    <w:pPr>
      <w:spacing w:after="120"/>
    </w:pPr>
    <w:rPr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4173F0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customStyle="1" w:styleId="Antecedente">
    <w:name w:val="Antecedente"/>
    <w:basedOn w:val="Normal"/>
    <w:link w:val="AntecedenteCar"/>
    <w:qFormat/>
    <w:rsid w:val="004173F0"/>
    <w:pPr>
      <w:spacing w:before="100" w:beforeAutospacing="1" w:after="100" w:afterAutospacing="1" w:line="480" w:lineRule="auto"/>
      <w:ind w:firstLine="708"/>
      <w:jc w:val="both"/>
    </w:pPr>
    <w:rPr>
      <w:bCs/>
      <w:sz w:val="28"/>
      <w:szCs w:val="28"/>
      <w:lang w:eastAsia="es-CR"/>
    </w:rPr>
  </w:style>
  <w:style w:type="character" w:customStyle="1" w:styleId="AntecedenteCar">
    <w:name w:val="Antecedente Car"/>
    <w:basedOn w:val="Fuentedeprrafopredeter"/>
    <w:link w:val="Antecedente"/>
    <w:rsid w:val="004173F0"/>
    <w:rPr>
      <w:rFonts w:ascii="Times New Roman" w:eastAsia="Times New Roman" w:hAnsi="Times New Roman" w:cs="Times New Roman"/>
      <w:bCs/>
      <w:sz w:val="28"/>
      <w:szCs w:val="28"/>
      <w:lang w:val="es-ES"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aromanc</dc:creator>
  <cp:lastModifiedBy>ljimenezz</cp:lastModifiedBy>
  <cp:revision>2</cp:revision>
  <dcterms:created xsi:type="dcterms:W3CDTF">2020-11-19T15:50:00Z</dcterms:created>
  <dcterms:modified xsi:type="dcterms:W3CDTF">2020-11-19T15:50:00Z</dcterms:modified>
</cp:coreProperties>
</file>