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713A" w:rsidRPr="000B79D2" w:rsidRDefault="00F6713A" w:rsidP="000B79D2">
      <w:pPr>
        <w:shd w:val="clear" w:color="auto" w:fill="FFFFFF"/>
        <w:jc w:val="both"/>
        <w:rPr>
          <w:color w:val="000000"/>
          <w:lang w:val="es-ES"/>
        </w:rPr>
      </w:pPr>
      <w:r w:rsidRPr="000B79D2">
        <w:rPr>
          <w:b/>
          <w:bCs/>
          <w:color w:val="000000"/>
          <w:u w:val="single"/>
          <w:shd w:val="clear" w:color="auto" w:fill="FFFFFF"/>
          <w:lang w:val="es-ES"/>
        </w:rPr>
        <w:t xml:space="preserve">CIRCULAR No. </w:t>
      </w:r>
      <w:r w:rsidR="008F351E">
        <w:rPr>
          <w:b/>
          <w:bCs/>
          <w:color w:val="000000"/>
          <w:u w:val="single"/>
          <w:shd w:val="clear" w:color="auto" w:fill="FFFFFF"/>
          <w:lang w:val="es-ES"/>
        </w:rPr>
        <w:t>227</w:t>
      </w:r>
      <w:r w:rsidRPr="000B79D2">
        <w:rPr>
          <w:b/>
          <w:bCs/>
          <w:color w:val="000000"/>
          <w:u w:val="single"/>
          <w:shd w:val="clear" w:color="auto" w:fill="FFFFFF"/>
          <w:lang w:val="es-ES"/>
        </w:rPr>
        <w:t>-2020</w:t>
      </w:r>
    </w:p>
    <w:p w:rsidR="008A322E" w:rsidRPr="000B79D2" w:rsidRDefault="008A322E" w:rsidP="000B79D2">
      <w:pPr>
        <w:shd w:val="clear" w:color="auto" w:fill="FFFFFF"/>
        <w:jc w:val="both"/>
        <w:rPr>
          <w:rFonts w:eastAsiaTheme="minorHAnsi"/>
          <w:kern w:val="0"/>
          <w:lang w:val="es-ES"/>
        </w:rPr>
      </w:pPr>
    </w:p>
    <w:p w:rsidR="00F6713A" w:rsidRPr="000B79D2" w:rsidRDefault="00F6713A" w:rsidP="000B79D2">
      <w:pPr>
        <w:shd w:val="clear" w:color="auto" w:fill="FFFFFF"/>
        <w:jc w:val="both"/>
        <w:rPr>
          <w:shd w:val="clear" w:color="auto" w:fill="FFFFFF"/>
          <w:lang w:val="es-ES"/>
        </w:rPr>
      </w:pPr>
      <w:r w:rsidRPr="000B79D2">
        <w:rPr>
          <w:b/>
          <w:bCs/>
          <w:color w:val="000000"/>
          <w:u w:val="single"/>
          <w:shd w:val="clear" w:color="auto" w:fill="FFFFFF"/>
          <w:lang w:val="es-ES"/>
        </w:rPr>
        <w:t>Asunto</w:t>
      </w:r>
      <w:r w:rsidRPr="000B79D2">
        <w:rPr>
          <w:color w:val="000000"/>
          <w:shd w:val="clear" w:color="auto" w:fill="FFFFFF"/>
          <w:lang w:val="es-ES"/>
        </w:rPr>
        <w:t xml:space="preserve">: </w:t>
      </w:r>
      <w:r w:rsidR="008F351E" w:rsidRPr="008F351E">
        <w:rPr>
          <w:sz w:val="23"/>
          <w:szCs w:val="23"/>
          <w:lang w:val="es-CR"/>
        </w:rPr>
        <w:t>Lineamientos para la realización de puestas en posesión y desalojos de personas en situación de vulnerabilidad o vulnerabilizadas, entre otras, pertenecientes a pueblos indígenas, en situación de discapacidad, adultas mayores y menores de edad.</w:t>
      </w:r>
    </w:p>
    <w:p w:rsidR="00F6713A" w:rsidRPr="000B79D2" w:rsidRDefault="00F6713A" w:rsidP="000B79D2">
      <w:pPr>
        <w:shd w:val="clear" w:color="auto" w:fill="FFFFFF"/>
        <w:jc w:val="both"/>
        <w:rPr>
          <w:lang w:val="es-ES"/>
        </w:rPr>
      </w:pPr>
    </w:p>
    <w:p w:rsidR="008F351E" w:rsidRPr="00C17458" w:rsidRDefault="008F351E" w:rsidP="008F351E">
      <w:pPr>
        <w:jc w:val="both"/>
        <w:rPr>
          <w:b/>
          <w:bCs/>
          <w:i/>
          <w:iCs/>
          <w:sz w:val="23"/>
          <w:szCs w:val="23"/>
          <w:lang w:val="es-CR"/>
        </w:rPr>
      </w:pPr>
      <w:r w:rsidRPr="00C17458">
        <w:rPr>
          <w:b/>
          <w:bCs/>
          <w:i/>
          <w:iCs/>
          <w:sz w:val="23"/>
          <w:szCs w:val="23"/>
          <w:lang w:val="es-CR"/>
        </w:rPr>
        <w:t>A TODOS LOS DESPACHOS JUDICIALES DEL PAÍS QUE TRAMITAN PROCESOS JUDICIALES DONDE SE DISPONEN PUESTAS EN POSESIÓN Y DESALOJOS EN LOS QUE INTERVENGAN PERSONAS EN SITUACIÓN DE VULNERABILIDAD</w:t>
      </w:r>
    </w:p>
    <w:p w:rsidR="008A322E" w:rsidRPr="000B79D2" w:rsidRDefault="008A322E" w:rsidP="000B79D2">
      <w:pPr>
        <w:shd w:val="clear" w:color="auto" w:fill="FFFFFF"/>
        <w:jc w:val="both"/>
        <w:rPr>
          <w:lang w:val="es-ES"/>
        </w:rPr>
      </w:pPr>
    </w:p>
    <w:p w:rsidR="00F6713A" w:rsidRPr="000B79D2" w:rsidRDefault="00F6713A" w:rsidP="000B79D2">
      <w:pPr>
        <w:shd w:val="clear" w:color="auto" w:fill="FFFFFF"/>
        <w:jc w:val="both"/>
        <w:rPr>
          <w:color w:val="000000"/>
          <w:lang w:val="es-ES"/>
        </w:rPr>
      </w:pPr>
      <w:r w:rsidRPr="000B79D2">
        <w:rPr>
          <w:b/>
          <w:bCs/>
          <w:color w:val="000000"/>
          <w:u w:val="single"/>
          <w:shd w:val="clear" w:color="auto" w:fill="FFFFFF"/>
          <w:lang w:val="es-ES"/>
        </w:rPr>
        <w:t>SE LES HACE SABER QUE:</w:t>
      </w:r>
    </w:p>
    <w:p w:rsidR="008A322E" w:rsidRPr="000B79D2" w:rsidRDefault="008A322E" w:rsidP="000B79D2">
      <w:pPr>
        <w:shd w:val="clear" w:color="auto" w:fill="FFFFFF"/>
        <w:jc w:val="both"/>
        <w:rPr>
          <w:lang w:val="es-ES"/>
        </w:rPr>
      </w:pPr>
    </w:p>
    <w:p w:rsidR="008F351E" w:rsidRPr="00EE207E" w:rsidRDefault="00F6713A" w:rsidP="008F351E">
      <w:pPr>
        <w:jc w:val="both"/>
        <w:rPr>
          <w:sz w:val="23"/>
          <w:szCs w:val="23"/>
          <w:lang w:val="es-CR"/>
        </w:rPr>
      </w:pPr>
      <w:r w:rsidRPr="000B79D2">
        <w:rPr>
          <w:color w:val="000000"/>
          <w:shd w:val="clear" w:color="auto" w:fill="FFFFFF"/>
          <w:lang w:val="es-ES"/>
        </w:rPr>
        <w:t>El Consejo Superior del Poder Judicial en sesión N°</w:t>
      </w:r>
      <w:r w:rsidR="008F351E">
        <w:rPr>
          <w:color w:val="000000"/>
          <w:shd w:val="clear" w:color="auto" w:fill="FFFFFF"/>
          <w:lang w:val="es-ES"/>
        </w:rPr>
        <w:t>95</w:t>
      </w:r>
      <w:r w:rsidR="008A322E" w:rsidRPr="000B79D2">
        <w:rPr>
          <w:color w:val="000000"/>
          <w:shd w:val="clear" w:color="auto" w:fill="FFFFFF"/>
          <w:lang w:val="es-ES"/>
        </w:rPr>
        <w:t>-2020</w:t>
      </w:r>
      <w:r w:rsidRPr="000B79D2">
        <w:rPr>
          <w:color w:val="000000"/>
          <w:shd w:val="clear" w:color="auto" w:fill="FFFFFF"/>
          <w:lang w:val="es-ES"/>
        </w:rPr>
        <w:t xml:space="preserve">, celebrada el </w:t>
      </w:r>
      <w:r w:rsidR="008A322E" w:rsidRPr="000B79D2">
        <w:rPr>
          <w:color w:val="000000"/>
          <w:shd w:val="clear" w:color="auto" w:fill="FFFFFF"/>
          <w:lang w:val="es-ES"/>
        </w:rPr>
        <w:t xml:space="preserve">6 de </w:t>
      </w:r>
      <w:r w:rsidR="008F351E">
        <w:rPr>
          <w:color w:val="000000"/>
          <w:shd w:val="clear" w:color="auto" w:fill="FFFFFF"/>
          <w:lang w:val="es-ES"/>
        </w:rPr>
        <w:t>octubre</w:t>
      </w:r>
      <w:r w:rsidR="008A322E" w:rsidRPr="000B79D2">
        <w:rPr>
          <w:color w:val="000000"/>
          <w:shd w:val="clear" w:color="auto" w:fill="FFFFFF"/>
          <w:lang w:val="es-ES"/>
        </w:rPr>
        <w:t xml:space="preserve"> de </w:t>
      </w:r>
      <w:r w:rsidRPr="000B79D2">
        <w:rPr>
          <w:color w:val="000000"/>
          <w:shd w:val="clear" w:color="auto" w:fill="FFFFFF"/>
          <w:lang w:val="es-ES"/>
        </w:rPr>
        <w:t xml:space="preserve">2020, artículo </w:t>
      </w:r>
      <w:r w:rsidR="008A322E" w:rsidRPr="000B79D2">
        <w:rPr>
          <w:color w:val="000000"/>
          <w:shd w:val="clear" w:color="auto" w:fill="FFFFFF"/>
          <w:lang w:val="es-ES"/>
        </w:rPr>
        <w:t>XLI</w:t>
      </w:r>
      <w:r w:rsidR="008F351E">
        <w:rPr>
          <w:color w:val="000000"/>
          <w:shd w:val="clear" w:color="auto" w:fill="FFFFFF"/>
          <w:lang w:val="es-ES"/>
        </w:rPr>
        <w:t>X</w:t>
      </w:r>
      <w:r w:rsidRPr="000B79D2">
        <w:rPr>
          <w:color w:val="000000"/>
          <w:shd w:val="clear" w:color="auto" w:fill="FFFFFF"/>
          <w:lang w:val="es-ES"/>
        </w:rPr>
        <w:t xml:space="preserve">, acordó comunicar </w:t>
      </w:r>
      <w:r w:rsidRPr="000B79D2">
        <w:rPr>
          <w:color w:val="000000"/>
          <w:lang w:val="es-MX"/>
        </w:rPr>
        <w:t xml:space="preserve">a </w:t>
      </w:r>
      <w:r w:rsidR="008F351E">
        <w:rPr>
          <w:color w:val="000000"/>
          <w:lang w:val="es-MX"/>
        </w:rPr>
        <w:t>todos los despachos judiciales del país que tramitan procesos judiciales donde se disponen puestas en posesión y desalojos en los que intervengan personas en situación de vulnerabilidad</w:t>
      </w:r>
      <w:r w:rsidRPr="000B79D2">
        <w:rPr>
          <w:color w:val="000000"/>
          <w:lang w:val="es-ES"/>
        </w:rPr>
        <w:t>,</w:t>
      </w:r>
      <w:r w:rsidR="008F351E">
        <w:rPr>
          <w:color w:val="000000"/>
          <w:shd w:val="clear" w:color="auto" w:fill="FFFFFF"/>
          <w:lang w:val="es-ES"/>
        </w:rPr>
        <w:t>y con</w:t>
      </w:r>
      <w:r w:rsidR="008F351E" w:rsidRPr="00EE207E">
        <w:rPr>
          <w:sz w:val="23"/>
          <w:szCs w:val="23"/>
          <w:lang w:val="es-CR"/>
        </w:rPr>
        <w:t xml:space="preserve"> fundamento en la normativa nacional e internacional de derechos humanos -de carácter supraconstitucional conforme a la jurisprudencia reiterada de la Sala Constitucional de la Corte Suprema de Justicia-, los pronunciamientos de la Corte Interamericana de Derechos Humanos, entre ellos, la emitida el 6 de febrero de 2020 en el caso Comunidades Indígenas miembros de la Asociación LhakaHonhat vs. Argentina, y los Objetivos de Desarrollo Sostenible de la Agenda 2030, concretamente el 16, sobre “Promover sociedades pacíficas e inclusivas para el desarrollo sostenible, facilitar el acceso a la justicia para todos y crear instituciones eficaces, responsables e inclusivas a todos los niveles”, a solicitud de la Comisión de Acceso a la Justicia y la Subcomisión de Acceso a la Justicia de Pueblos Indígenas, se insta a las personas servidoras judiciales vinculadas con la tramitación y ejecución de desalojos y puestas en posesión para que, a fin de garantizar el acceso a la justicia, en especial de las personas en situación de vulnerabilidad, cumplan con lo siguiente:</w:t>
      </w:r>
    </w:p>
    <w:p w:rsidR="008F351E" w:rsidRPr="00EE207E" w:rsidRDefault="008F351E" w:rsidP="008F351E">
      <w:pPr>
        <w:jc w:val="both"/>
        <w:rPr>
          <w:sz w:val="23"/>
          <w:szCs w:val="23"/>
          <w:lang w:val="es-CR"/>
        </w:rPr>
      </w:pPr>
    </w:p>
    <w:p w:rsidR="008F351E" w:rsidRDefault="008F351E" w:rsidP="008F351E">
      <w:pPr>
        <w:widowControl/>
        <w:numPr>
          <w:ilvl w:val="0"/>
          <w:numId w:val="5"/>
        </w:numPr>
        <w:suppressAutoHyphens w:val="0"/>
        <w:ind w:left="0" w:firstLine="0"/>
        <w:contextualSpacing/>
        <w:jc w:val="both"/>
        <w:rPr>
          <w:sz w:val="23"/>
          <w:szCs w:val="23"/>
          <w:lang w:val="es-CR"/>
        </w:rPr>
      </w:pPr>
      <w:r w:rsidRPr="00EE207E">
        <w:rPr>
          <w:sz w:val="23"/>
          <w:szCs w:val="23"/>
          <w:bdr w:val="none" w:sz="0" w:space="0" w:color="auto" w:frame="1"/>
          <w:shd w:val="clear" w:color="auto" w:fill="FFFFFF"/>
          <w:lang w:val="es-CR"/>
        </w:rPr>
        <w:t>Si en la puesta en posesión y el desalojo están involucradas personas en situación de vulnerabilidad o vulnerabilizadas, tales como indígenas, en situación de discapacidad, adultas mayores, menores de edad, u otras, o bien, se trate de personas en quienes confluyan varias causas de vulnerabilidad, en los términos dispuestos en la Circular 173-19 sobre las 100 Reglas de Brasilia sobre Acceso a la Justicia de la Personas en Condición de Vulnerabilidad (XIV Cumbre Judicial Iberoamericana/Corte Plena Sesión 17-2008) actualizada en 2019 (Quito, Ecuador), debe tomarse en consideración la normativa nacional e internacional que regula los derechos de dicha población; así como la D</w:t>
      </w:r>
      <w:r w:rsidRPr="00EE207E">
        <w:rPr>
          <w:sz w:val="23"/>
          <w:szCs w:val="23"/>
          <w:lang w:val="es-CR"/>
        </w:rPr>
        <w:t>eclaración Universal de los Derechos Humanos, el Pacto Internacional de Derechos Económicos, Sociales y Culturales, la Convención Americana de Derechos humanos y el Protocolo de los Derechos Económicos, Sociales y Culturales, la Carta de San José sobre los derechos de las personas mayores de América Latina y el Caribe, en especial, la Convención de CEDAW y de Belem do Pará para la eliminación de todas las formas de discriminación contra las mujeres. En general, debe evitarse ejecutar desalojos compulsivos.</w:t>
      </w:r>
    </w:p>
    <w:p w:rsidR="00BF18BF" w:rsidRPr="00EE207E" w:rsidRDefault="00BF18BF" w:rsidP="00BF18BF">
      <w:pPr>
        <w:widowControl/>
        <w:suppressAutoHyphens w:val="0"/>
        <w:contextualSpacing/>
        <w:jc w:val="both"/>
        <w:rPr>
          <w:sz w:val="23"/>
          <w:szCs w:val="23"/>
          <w:lang w:val="es-CR"/>
        </w:rPr>
      </w:pPr>
    </w:p>
    <w:p w:rsidR="008F351E" w:rsidRPr="00BF18BF" w:rsidRDefault="008F351E" w:rsidP="008F351E">
      <w:pPr>
        <w:widowControl/>
        <w:numPr>
          <w:ilvl w:val="0"/>
          <w:numId w:val="5"/>
        </w:numPr>
        <w:suppressAutoHyphens w:val="0"/>
        <w:ind w:left="0" w:firstLine="0"/>
        <w:contextualSpacing/>
        <w:jc w:val="both"/>
        <w:rPr>
          <w:sz w:val="23"/>
          <w:szCs w:val="23"/>
          <w:lang w:val="es-CR"/>
        </w:rPr>
      </w:pPr>
      <w:r w:rsidRPr="00EE207E">
        <w:rPr>
          <w:sz w:val="23"/>
          <w:szCs w:val="23"/>
          <w:bdr w:val="none" w:sz="0" w:space="0" w:color="auto" w:frame="1"/>
          <w:shd w:val="clear" w:color="auto" w:fill="FFFFFF"/>
          <w:lang w:val="es-CR"/>
        </w:rPr>
        <w:lastRenderedPageBreak/>
        <w:t>Si en el desalojo y puesta en posesión están involucrados niños o niñas deberá coordinarse previamente con el Patronato Nacional de la Infancia; si se trata de personas adultas mayores, con el Consejo Nacional de Personas Adultas Mayores; si son personas en situación de discapacidad con el Consejo Nacional de Discapacidad; y así sucesivamente en relación con las demás poblaciones.</w:t>
      </w:r>
    </w:p>
    <w:p w:rsidR="00BF18BF" w:rsidRPr="00EE207E" w:rsidRDefault="00BF18BF" w:rsidP="00BF18BF">
      <w:pPr>
        <w:widowControl/>
        <w:suppressAutoHyphens w:val="0"/>
        <w:contextualSpacing/>
        <w:jc w:val="both"/>
        <w:rPr>
          <w:sz w:val="23"/>
          <w:szCs w:val="23"/>
          <w:lang w:val="es-CR"/>
        </w:rPr>
      </w:pPr>
    </w:p>
    <w:p w:rsidR="008F351E" w:rsidRDefault="008F351E" w:rsidP="008F351E">
      <w:pPr>
        <w:widowControl/>
        <w:numPr>
          <w:ilvl w:val="0"/>
          <w:numId w:val="5"/>
        </w:numPr>
        <w:suppressAutoHyphens w:val="0"/>
        <w:ind w:left="0" w:firstLine="0"/>
        <w:contextualSpacing/>
        <w:jc w:val="both"/>
        <w:rPr>
          <w:sz w:val="23"/>
          <w:szCs w:val="23"/>
          <w:lang w:val="es-CR"/>
        </w:rPr>
      </w:pPr>
      <w:r w:rsidRPr="00EE207E">
        <w:rPr>
          <w:sz w:val="23"/>
          <w:szCs w:val="23"/>
          <w:lang w:val="es-CR"/>
        </w:rPr>
        <w:t>En general, deben tomarse las medidas legalmente dispuestas para el resguardo de los animales, plantaciones y bienes de las personas a desalojar, considerando las previsiones necesarias para tal fin.</w:t>
      </w:r>
    </w:p>
    <w:p w:rsidR="00BF18BF" w:rsidRPr="00EE207E" w:rsidRDefault="00BF18BF" w:rsidP="00BF18BF">
      <w:pPr>
        <w:widowControl/>
        <w:suppressAutoHyphens w:val="0"/>
        <w:contextualSpacing/>
        <w:jc w:val="both"/>
        <w:rPr>
          <w:sz w:val="23"/>
          <w:szCs w:val="23"/>
          <w:lang w:val="es-CR"/>
        </w:rPr>
      </w:pPr>
    </w:p>
    <w:p w:rsidR="00BF18BF" w:rsidRDefault="008F351E" w:rsidP="00BF18BF">
      <w:pPr>
        <w:widowControl/>
        <w:numPr>
          <w:ilvl w:val="0"/>
          <w:numId w:val="5"/>
        </w:numPr>
        <w:suppressAutoHyphens w:val="0"/>
        <w:ind w:left="0" w:firstLine="0"/>
        <w:contextualSpacing/>
        <w:jc w:val="both"/>
        <w:rPr>
          <w:sz w:val="23"/>
          <w:szCs w:val="23"/>
          <w:lang w:val="es-CR"/>
        </w:rPr>
      </w:pPr>
      <w:r w:rsidRPr="00EE207E">
        <w:rPr>
          <w:sz w:val="23"/>
          <w:szCs w:val="23"/>
          <w:lang w:val="es-CR"/>
        </w:rPr>
        <w:t>Reiterar la importancia de que desde el inicio del proceso se identifique en los procesos judiciales la presencia de personas usuarias en situación de vulnerabilidad para que quede consignado a efecto de que, a partir del comienzo de la tramitación se tomen todas las previsiones que sean necesarias para garantizar los derechos consagrados en la normativa nacional e internacional. En especial, se alimenten las estadísticas institucionales debidamente, garantizándose así contar con información confiable, relevante, pertinente, útil y oportuna, para la toma de decisiones institucionales, de conformidad con la regulación 5.6 de las Normas de Control Interno para el Sector Público” (N-2-2009-CO-DFOE) sobre la responsabilidad de asegurar dichos atributos en la calidad de la información.</w:t>
      </w:r>
    </w:p>
    <w:p w:rsidR="00BF18BF" w:rsidRPr="00BF18BF" w:rsidRDefault="00BF18BF" w:rsidP="00BF18BF">
      <w:pPr>
        <w:widowControl/>
        <w:suppressAutoHyphens w:val="0"/>
        <w:contextualSpacing/>
        <w:jc w:val="both"/>
        <w:rPr>
          <w:sz w:val="23"/>
          <w:szCs w:val="23"/>
          <w:lang w:val="es-CR"/>
        </w:rPr>
      </w:pPr>
    </w:p>
    <w:p w:rsidR="008F351E" w:rsidRPr="00EE207E" w:rsidRDefault="008F351E" w:rsidP="008F351E">
      <w:pPr>
        <w:widowControl/>
        <w:numPr>
          <w:ilvl w:val="0"/>
          <w:numId w:val="5"/>
        </w:numPr>
        <w:suppressAutoHyphens w:val="0"/>
        <w:ind w:left="0" w:firstLine="0"/>
        <w:contextualSpacing/>
        <w:jc w:val="both"/>
        <w:rPr>
          <w:sz w:val="23"/>
          <w:szCs w:val="23"/>
          <w:lang w:val="es-CR"/>
        </w:rPr>
      </w:pPr>
      <w:r w:rsidRPr="00EE207E">
        <w:rPr>
          <w:sz w:val="23"/>
          <w:szCs w:val="23"/>
          <w:lang w:val="es-CR"/>
        </w:rPr>
        <w:t>Tratándose de personas indígenas quienes estén involucradas, en forma previa a la emisión y ejecución de la orden de desalojos y/o puestas en posesión, deberán considerarse los derechos de esta población, consagrados en los instrumentos internacionales de derechos humanos y demás normativa nacional, entre ellos, el Convenio 169 de la Organización Internacional del Trabajo sobre Pueblos Indígenas y Tribales en Países Independientes, la Declaración de las Naciones Unidas sobre los Derechos de los Pueblos Indígenas y la Declaración Americana sobre Derechos de los Pueblos Indígenas de la Organización de Estados Americanos y la Ley de Acceso a la Justicia de Pueblos Indígenas de Costa Rica, a saber:</w:t>
      </w:r>
    </w:p>
    <w:p w:rsidR="008F351E" w:rsidRPr="00EE207E" w:rsidRDefault="008F351E" w:rsidP="008F351E">
      <w:pPr>
        <w:jc w:val="both"/>
        <w:rPr>
          <w:sz w:val="23"/>
          <w:szCs w:val="23"/>
          <w:lang w:val="es-CR"/>
        </w:rPr>
      </w:pPr>
    </w:p>
    <w:p w:rsidR="008F351E" w:rsidRPr="00BF18BF" w:rsidRDefault="008F351E" w:rsidP="008F351E">
      <w:pPr>
        <w:widowControl/>
        <w:numPr>
          <w:ilvl w:val="1"/>
          <w:numId w:val="5"/>
        </w:numPr>
        <w:suppressAutoHyphens w:val="0"/>
        <w:ind w:left="0" w:firstLine="0"/>
        <w:contextualSpacing/>
        <w:jc w:val="both"/>
        <w:rPr>
          <w:sz w:val="23"/>
          <w:szCs w:val="23"/>
          <w:lang w:val="es-CR"/>
        </w:rPr>
      </w:pPr>
      <w:r w:rsidRPr="00EE207E">
        <w:rPr>
          <w:sz w:val="23"/>
          <w:szCs w:val="23"/>
          <w:lang w:val="es-CR"/>
        </w:rPr>
        <w:t>En forma previa a ejecutar, u ordenar a la fuerza pública practicar una puesta en posesión o un desalojo, debe procederse con las acciones de coordinación dispuestas en la Circular 103-2020 denominada “</w:t>
      </w:r>
      <w:bookmarkStart w:id="0" w:name="_Hlk22190564"/>
      <w:r w:rsidRPr="00EE207E">
        <w:rPr>
          <w:sz w:val="23"/>
          <w:szCs w:val="23"/>
          <w:lang w:val="es-CR"/>
        </w:rPr>
        <w:t>Lineamientos establecidos en el “Plan de Trabajo: Abordaje de la emergencia del virus COVID-19 en territorios indígenas” diseñado por el Viceministerio de la Presidencia en Asuntos Políticos y Diálogo Ciudadano y el Ministerio de Salud”, aprobada por Corte Plena en sesión Nº 21-2020 celebrada el 20 de abril de 2020, Artículo XVIII, en atención</w:t>
      </w:r>
      <w:r w:rsidRPr="00EE207E">
        <w:rPr>
          <w:sz w:val="23"/>
          <w:szCs w:val="23"/>
          <w:bdr w:val="none" w:sz="0" w:space="0" w:color="auto" w:frame="1"/>
          <w:lang w:val="es-CR" w:eastAsia="es-ES"/>
        </w:rPr>
        <w:t xml:space="preserve"> a la situación de emergencia sanitaria provocada por la enfermedad COVID-19 declarada vía Decreto Ejecutivo 42227-MSP-S de 6 de marzo de 2020, y lo dispuesto por la Comisión Interamericana de Derechos Humanos en la resolución 01-2020. </w:t>
      </w:r>
      <w:r w:rsidRPr="00EE207E">
        <w:rPr>
          <w:sz w:val="23"/>
          <w:szCs w:val="23"/>
          <w:lang w:val="es-CR"/>
        </w:rPr>
        <w:t xml:space="preserve">El Plan de Acción se encuentra en la dirección electrónica: </w:t>
      </w:r>
      <w:bookmarkEnd w:id="0"/>
      <w:r w:rsidR="00614EFC" w:rsidRPr="00EE207E">
        <w:rPr>
          <w:sz w:val="23"/>
          <w:szCs w:val="23"/>
          <w:bdr w:val="none" w:sz="0" w:space="0" w:color="auto" w:frame="1"/>
          <w:shd w:val="clear" w:color="auto" w:fill="FFFFFF"/>
          <w:lang w:val="es-CR"/>
        </w:rPr>
        <w:fldChar w:fldCharType="begin"/>
      </w:r>
      <w:r w:rsidRPr="00EE207E">
        <w:rPr>
          <w:sz w:val="23"/>
          <w:szCs w:val="23"/>
          <w:bdr w:val="none" w:sz="0" w:space="0" w:color="auto" w:frame="1"/>
          <w:shd w:val="clear" w:color="auto" w:fill="FFFFFF"/>
          <w:lang w:val="es-CR"/>
        </w:rPr>
        <w:instrText xml:space="preserve"> HYPERLINK "https://secretariacorte.poder-judicial.go.cr/index.php/documentos?download=4949:plan-de-trabajo-abordaje-de-la-emergencia-del-virus-covid-19-en-territorios-indigenas" </w:instrText>
      </w:r>
      <w:r w:rsidR="00614EFC" w:rsidRPr="00EE207E">
        <w:rPr>
          <w:sz w:val="23"/>
          <w:szCs w:val="23"/>
          <w:bdr w:val="none" w:sz="0" w:space="0" w:color="auto" w:frame="1"/>
          <w:shd w:val="clear" w:color="auto" w:fill="FFFFFF"/>
          <w:lang w:val="es-CR"/>
        </w:rPr>
        <w:fldChar w:fldCharType="separate"/>
      </w:r>
      <w:r w:rsidRPr="00EE207E">
        <w:rPr>
          <w:sz w:val="23"/>
          <w:szCs w:val="23"/>
          <w:bdr w:val="none" w:sz="0" w:space="0" w:color="auto" w:frame="1"/>
          <w:shd w:val="clear" w:color="auto" w:fill="FFFFFF"/>
          <w:lang w:val="es-CR"/>
        </w:rPr>
        <w:t>https://secretariacorte.poder-judicial.go.cr/index.php/documentos?download=4949:plan-de-trabajo-abordaje-de-la-emergencia-del-virus-covid-19-en-territorios-indigenas</w:t>
      </w:r>
      <w:r w:rsidR="00614EFC" w:rsidRPr="00EE207E">
        <w:rPr>
          <w:sz w:val="23"/>
          <w:szCs w:val="23"/>
          <w:bdr w:val="none" w:sz="0" w:space="0" w:color="auto" w:frame="1"/>
          <w:shd w:val="clear" w:color="auto" w:fill="FFFFFF"/>
          <w:lang w:val="es-CR"/>
        </w:rPr>
        <w:fldChar w:fldCharType="end"/>
      </w:r>
      <w:r w:rsidRPr="00EE207E">
        <w:rPr>
          <w:sz w:val="23"/>
          <w:szCs w:val="23"/>
          <w:bdr w:val="none" w:sz="0" w:space="0" w:color="auto" w:frame="1"/>
          <w:shd w:val="clear" w:color="auto" w:fill="FFFFFF"/>
          <w:lang w:val="es-CR"/>
        </w:rPr>
        <w:t xml:space="preserve">. </w:t>
      </w:r>
    </w:p>
    <w:p w:rsidR="00BF18BF" w:rsidRPr="00EE207E" w:rsidRDefault="00BF18BF" w:rsidP="00BF18BF">
      <w:pPr>
        <w:widowControl/>
        <w:suppressAutoHyphens w:val="0"/>
        <w:contextualSpacing/>
        <w:jc w:val="both"/>
        <w:rPr>
          <w:sz w:val="23"/>
          <w:szCs w:val="23"/>
          <w:lang w:val="es-CR"/>
        </w:rPr>
      </w:pPr>
    </w:p>
    <w:p w:rsidR="008F351E" w:rsidRDefault="008F351E" w:rsidP="008F351E">
      <w:pPr>
        <w:widowControl/>
        <w:numPr>
          <w:ilvl w:val="1"/>
          <w:numId w:val="5"/>
        </w:numPr>
        <w:suppressAutoHyphens w:val="0"/>
        <w:ind w:left="0" w:firstLine="0"/>
        <w:contextualSpacing/>
        <w:jc w:val="both"/>
        <w:rPr>
          <w:sz w:val="23"/>
          <w:szCs w:val="23"/>
          <w:lang w:val="es-CR"/>
        </w:rPr>
      </w:pPr>
      <w:r w:rsidRPr="00EE207E">
        <w:rPr>
          <w:sz w:val="23"/>
          <w:szCs w:val="23"/>
          <w:lang w:val="es-CR"/>
        </w:rPr>
        <w:t xml:space="preserve">Garantizar el acceso a la justicia a la población indígena tomando en consideración sus </w:t>
      </w:r>
      <w:r w:rsidRPr="00EE207E">
        <w:rPr>
          <w:sz w:val="23"/>
          <w:szCs w:val="23"/>
          <w:bdr w:val="none" w:sz="0" w:space="0" w:color="auto" w:frame="1"/>
          <w:shd w:val="clear" w:color="auto" w:fill="FFFFFF"/>
          <w:lang w:val="es-CR"/>
        </w:rPr>
        <w:t>condiciones</w:t>
      </w:r>
      <w:r w:rsidRPr="00EE207E">
        <w:rPr>
          <w:sz w:val="23"/>
          <w:szCs w:val="23"/>
          <w:lang w:val="es-CR"/>
        </w:rPr>
        <w:t xml:space="preserve"> étnicas, socioeconómicas y culturales, aplicando el Derecho Indígena -siempre y cuando no transgreda los derechos humanos- así como sus costumbres y cosmovisión, </w:t>
      </w:r>
      <w:r w:rsidRPr="00EE207E">
        <w:rPr>
          <w:sz w:val="23"/>
          <w:szCs w:val="23"/>
          <w:lang w:val="es-CR"/>
        </w:rPr>
        <w:lastRenderedPageBreak/>
        <w:t>conforme a la normativa nacional e internacional, en especial, el artículo 1 de la Constitución Política, que declara a Costa Rica como una República multiétnica y pluricultural. De ser necesario podrá requerirse un peritaje antropológico, para garantizar, proteger y tutelar los derechos humanos de los pueblos indígenas, conforme lo dispone la Ley de Acceso a la Justicia de Pueblos Indígenas de Costa Rica.</w:t>
      </w:r>
    </w:p>
    <w:p w:rsidR="00BF18BF" w:rsidRPr="00EE207E" w:rsidRDefault="00BF18BF" w:rsidP="00BF18BF">
      <w:pPr>
        <w:widowControl/>
        <w:suppressAutoHyphens w:val="0"/>
        <w:contextualSpacing/>
        <w:jc w:val="both"/>
        <w:rPr>
          <w:sz w:val="23"/>
          <w:szCs w:val="23"/>
          <w:lang w:val="es-CR"/>
        </w:rPr>
      </w:pPr>
    </w:p>
    <w:p w:rsidR="008F351E" w:rsidRDefault="008F351E" w:rsidP="008F351E">
      <w:pPr>
        <w:widowControl/>
        <w:numPr>
          <w:ilvl w:val="1"/>
          <w:numId w:val="5"/>
        </w:numPr>
        <w:suppressAutoHyphens w:val="0"/>
        <w:ind w:left="0" w:firstLine="0"/>
        <w:contextualSpacing/>
        <w:jc w:val="both"/>
        <w:rPr>
          <w:sz w:val="23"/>
          <w:szCs w:val="23"/>
          <w:lang w:val="es-CR"/>
        </w:rPr>
      </w:pPr>
      <w:r w:rsidRPr="00EE207E">
        <w:rPr>
          <w:sz w:val="23"/>
          <w:szCs w:val="23"/>
          <w:lang w:val="es-CR"/>
        </w:rPr>
        <w:t>Respetar la importancia que para las culturas y valores espirituales de los pueblos interesados reviste su relación con las tierras o territorios, en resguardo del derecho colectivo y comunitario de esa relación. La utilización del término «tierras» debe incluir el concepto de territorios, que cubre “la totalidad del hábitat de las regiones que los pueblos interesados ocupan o utilizan de alguna otra manera”. Además, tomar medidas para salvaguardar el derecho de los pueblos interesados a utilizar tierras que no estén exclusivamente ocupadas por ellos, pero a las que hayan tenido tradicionalmente acceso para sus actividades. Lo anterior, en los términos dispuestos por el Convenio 169 de la OIT citado.</w:t>
      </w:r>
    </w:p>
    <w:p w:rsidR="00BF18BF" w:rsidRDefault="00BF18BF" w:rsidP="00BF18BF">
      <w:pPr>
        <w:pStyle w:val="Prrafodelista"/>
        <w:rPr>
          <w:sz w:val="23"/>
          <w:szCs w:val="23"/>
          <w:lang w:val="es-CR"/>
        </w:rPr>
      </w:pPr>
    </w:p>
    <w:p w:rsidR="008F351E" w:rsidRPr="00BF18BF" w:rsidRDefault="008F351E" w:rsidP="008F351E">
      <w:pPr>
        <w:widowControl/>
        <w:numPr>
          <w:ilvl w:val="1"/>
          <w:numId w:val="5"/>
        </w:numPr>
        <w:suppressAutoHyphens w:val="0"/>
        <w:ind w:left="0" w:firstLine="0"/>
        <w:contextualSpacing/>
        <w:jc w:val="both"/>
        <w:rPr>
          <w:sz w:val="23"/>
          <w:szCs w:val="23"/>
          <w:lang w:val="es-CR"/>
        </w:rPr>
      </w:pPr>
      <w:r w:rsidRPr="00EE207E">
        <w:rPr>
          <w:sz w:val="23"/>
          <w:szCs w:val="23"/>
          <w:lang w:val="es-CR"/>
        </w:rPr>
        <w:t xml:space="preserve">Realizar los esfuerzos necesarios para que las personas indígenas puedan comprender y hacerse comprender en sus propios idiomas, facilitándoles, si fuere necesario, intérpretes u otros medios eficaces. </w:t>
      </w:r>
      <w:r w:rsidRPr="00EE207E">
        <w:rPr>
          <w:sz w:val="23"/>
          <w:szCs w:val="23"/>
          <w:bdr w:val="none" w:sz="0" w:space="0" w:color="auto" w:frame="1"/>
          <w:shd w:val="clear" w:color="auto" w:fill="FFFFFF"/>
          <w:lang w:val="es-CR"/>
        </w:rPr>
        <w:t>Para ello el Poder Judicial cuenta con listados oficiales. Si se trata de mujeres indígenas, deberá procurarse una mujer traductora o intérprete indígena en los términos dispuestos en la Ley de Acceso a la Justicia de Pueblos Indígenas de Costa Rica.</w:t>
      </w:r>
    </w:p>
    <w:p w:rsidR="00BF18BF" w:rsidRPr="00EE207E" w:rsidRDefault="00BF18BF" w:rsidP="00BF18BF">
      <w:pPr>
        <w:widowControl/>
        <w:suppressAutoHyphens w:val="0"/>
        <w:contextualSpacing/>
        <w:jc w:val="both"/>
        <w:rPr>
          <w:sz w:val="23"/>
          <w:szCs w:val="23"/>
          <w:lang w:val="es-CR"/>
        </w:rPr>
      </w:pPr>
    </w:p>
    <w:p w:rsidR="008F351E" w:rsidRDefault="008F351E" w:rsidP="008F351E">
      <w:pPr>
        <w:widowControl/>
        <w:numPr>
          <w:ilvl w:val="1"/>
          <w:numId w:val="5"/>
        </w:numPr>
        <w:suppressAutoHyphens w:val="0"/>
        <w:ind w:left="0" w:firstLine="0"/>
        <w:contextualSpacing/>
        <w:jc w:val="both"/>
        <w:rPr>
          <w:sz w:val="23"/>
          <w:szCs w:val="23"/>
          <w:lang w:val="es-CR"/>
        </w:rPr>
      </w:pPr>
      <w:r w:rsidRPr="00EE207E">
        <w:rPr>
          <w:sz w:val="23"/>
          <w:szCs w:val="23"/>
          <w:lang w:val="es-CR"/>
        </w:rPr>
        <w:t>Informar a las personas indígenas el derecho a hacerse representar por personas defensoras públicas, en todas las materias, conforme lo faculta la Ley de Acceso a la Justicia de Pueblos Indígenas de Costa Rica.</w:t>
      </w:r>
    </w:p>
    <w:p w:rsidR="00BF18BF" w:rsidRPr="00EE207E" w:rsidRDefault="00BF18BF" w:rsidP="00BF18BF">
      <w:pPr>
        <w:widowControl/>
        <w:suppressAutoHyphens w:val="0"/>
        <w:contextualSpacing/>
        <w:jc w:val="both"/>
        <w:rPr>
          <w:sz w:val="23"/>
          <w:szCs w:val="23"/>
          <w:lang w:val="es-CR"/>
        </w:rPr>
      </w:pPr>
    </w:p>
    <w:p w:rsidR="008F351E" w:rsidRDefault="008F351E" w:rsidP="008F351E">
      <w:pPr>
        <w:widowControl/>
        <w:numPr>
          <w:ilvl w:val="1"/>
          <w:numId w:val="5"/>
        </w:numPr>
        <w:suppressAutoHyphens w:val="0"/>
        <w:ind w:left="0" w:firstLine="0"/>
        <w:contextualSpacing/>
        <w:jc w:val="both"/>
        <w:rPr>
          <w:sz w:val="23"/>
          <w:szCs w:val="23"/>
          <w:lang w:val="es-CR"/>
        </w:rPr>
      </w:pPr>
      <w:r w:rsidRPr="00EE207E">
        <w:rPr>
          <w:sz w:val="23"/>
          <w:szCs w:val="23"/>
          <w:lang w:val="es-CR"/>
        </w:rPr>
        <w:t>Cumplir con los lineamientos dispuestos en la Circular 10-2009 reiterada mediante circulares N° 105-2011 del 7 de setiembre del 2011 y N° 123-2013, publicadas en los Boletines Judiciales N° 192 del 6 de octubre del 2011, N° 83 del 2 de mayo del 2013 y N° 160 del 22 de agosto del 2013, respectivamente, en los que se dispone el deber de fijar los señalamientos de las audiencias dentro de un horario accesible, contemplando las particularidades de cada zona.</w:t>
      </w:r>
    </w:p>
    <w:p w:rsidR="00BF18BF" w:rsidRPr="00EE207E" w:rsidRDefault="00BF18BF" w:rsidP="00BF18BF">
      <w:pPr>
        <w:widowControl/>
        <w:suppressAutoHyphens w:val="0"/>
        <w:contextualSpacing/>
        <w:jc w:val="both"/>
        <w:rPr>
          <w:sz w:val="23"/>
          <w:szCs w:val="23"/>
          <w:lang w:val="es-CR"/>
        </w:rPr>
      </w:pPr>
    </w:p>
    <w:p w:rsidR="008F351E" w:rsidRDefault="008F351E" w:rsidP="008F351E">
      <w:pPr>
        <w:widowControl/>
        <w:numPr>
          <w:ilvl w:val="1"/>
          <w:numId w:val="5"/>
        </w:numPr>
        <w:suppressAutoHyphens w:val="0"/>
        <w:ind w:left="0" w:firstLine="0"/>
        <w:contextualSpacing/>
        <w:jc w:val="both"/>
        <w:rPr>
          <w:sz w:val="23"/>
          <w:szCs w:val="23"/>
          <w:lang w:val="es-CR"/>
        </w:rPr>
      </w:pPr>
      <w:r w:rsidRPr="00EE207E">
        <w:rPr>
          <w:bCs/>
          <w:sz w:val="23"/>
          <w:szCs w:val="23"/>
          <w:lang w:val="es-CR"/>
        </w:rPr>
        <w:t xml:space="preserve">Ser garantes del acceso efectivo a la justicia de los pueblos indígenas establecidos por Corte Plena en la Circular 188-2019 para la no discriminación y eliminación de barreras, a saber: </w:t>
      </w:r>
      <w:r w:rsidRPr="00EE207E">
        <w:rPr>
          <w:b/>
          <w:sz w:val="23"/>
          <w:szCs w:val="23"/>
          <w:lang w:val="es-CR"/>
        </w:rPr>
        <w:t>i)</w:t>
      </w:r>
      <w:r w:rsidRPr="00EE207E">
        <w:rPr>
          <w:bCs/>
          <w:sz w:val="23"/>
          <w:szCs w:val="23"/>
          <w:lang w:val="es-CR"/>
        </w:rPr>
        <w:t xml:space="preserve"> asegurar que los miembros de la comunidad puedan comprender y hacerse comprender en los procedimientos legales iniciados, facilitándoles intérpretes u otros medios eficaces para tal fin; </w:t>
      </w:r>
      <w:r w:rsidRPr="00EE207E">
        <w:rPr>
          <w:b/>
          <w:sz w:val="23"/>
          <w:szCs w:val="23"/>
          <w:lang w:val="es-CR"/>
        </w:rPr>
        <w:t>ii)</w:t>
      </w:r>
      <w:r w:rsidRPr="00EE207E">
        <w:rPr>
          <w:bCs/>
          <w:sz w:val="23"/>
          <w:szCs w:val="23"/>
          <w:lang w:val="es-CR"/>
        </w:rPr>
        <w:t xml:space="preserve"> proporcionar el acceso a los pueblos indígenas y tribales a asistencia técnica y legal en relación con su derecho a la propiedad colectiva, en el supuesto de que estos se encontrasen en una situación de vulnerabilidad que les impediría conseguirla, y </w:t>
      </w:r>
      <w:r w:rsidRPr="00EE207E">
        <w:rPr>
          <w:b/>
          <w:sz w:val="23"/>
          <w:szCs w:val="23"/>
          <w:lang w:val="es-CR"/>
        </w:rPr>
        <w:t>iii)</w:t>
      </w:r>
      <w:r w:rsidRPr="00EE207E">
        <w:rPr>
          <w:bCs/>
          <w:sz w:val="23"/>
          <w:szCs w:val="23"/>
          <w:lang w:val="es-CR"/>
        </w:rPr>
        <w:t xml:space="preserve"> facilitar el acceso físico a las instituciones administrativas y judiciales, o a los organismos encargados de garantizar el derecho a la propiedad colectiva de los pueblos indígenas y tribales, así como facilitar la participación de los pueblos en el desarrollo de los procesos judiciales, administrativos o de cualquier otra índole, sin que ello les implique hacer esfuerzos desmedidos o exagerados, ya sea debido a las distancias o a las vías de acceso a dichas instituciones, o a los altos costos en virtud de los procedimientos. Además, el otorgamiento de una protección efectiva que tome en cuenta las particularidades propias que los diferencian de la población en general y que conforman su identidad cultural, sus características económicas y sociales, su posible situación de vulnerabilidad, su derecho consuetudinario, valores, usos y costumbres, así como su especial relación con la tierra, y respeto de los mecanismos internos de decisión de controversias en materia indígena, los cuales se encuentren en armonía con los derechos humanos, según los estándares internacionales establecidos por la Corte Interamericana de Derechos Humanos en el caso Pueblos Kaliña y Lokono versus Surinam, sentencia de 25 de noviembre de 2015 y las disposiciones de la Ley de Acceso a la Justicia de los Pueblos Indígena.</w:t>
      </w:r>
      <w:r>
        <w:rPr>
          <w:sz w:val="23"/>
          <w:szCs w:val="23"/>
          <w:lang w:val="es-CR"/>
        </w:rPr>
        <w:t>”</w:t>
      </w:r>
    </w:p>
    <w:p w:rsidR="008F351E" w:rsidRPr="008F351E" w:rsidRDefault="008F351E" w:rsidP="008F351E">
      <w:pPr>
        <w:widowControl/>
        <w:suppressAutoHyphens w:val="0"/>
        <w:contextualSpacing/>
        <w:jc w:val="both"/>
        <w:rPr>
          <w:sz w:val="23"/>
          <w:szCs w:val="23"/>
          <w:lang w:val="es-CR"/>
        </w:rPr>
      </w:pPr>
    </w:p>
    <w:p w:rsidR="005B2A04" w:rsidRPr="000B79D2" w:rsidRDefault="005B2A04" w:rsidP="000B79D2">
      <w:pPr>
        <w:jc w:val="both"/>
        <w:rPr>
          <w:b/>
        </w:rPr>
      </w:pPr>
      <w:r w:rsidRPr="000B79D2">
        <w:rPr>
          <w:b/>
        </w:rPr>
        <w:t xml:space="preserve">De conformidad con la circular N° 67-09 emitida por la Secretaría de la Corte el 22 de junio de 2009, se le comunica que en virtud del principio de gratuidad que rige esta materia, la publicación está exenta de todo pago de derechos. </w:t>
      </w:r>
    </w:p>
    <w:p w:rsidR="005B2A04" w:rsidRPr="000B79D2" w:rsidRDefault="005B2A04" w:rsidP="000B79D2">
      <w:pPr>
        <w:jc w:val="both"/>
        <w:rPr>
          <w:b/>
          <w:lang w:val="es-ES" w:eastAsia="zh-CN"/>
        </w:rPr>
      </w:pPr>
      <w:r w:rsidRPr="000B79D2">
        <w:rPr>
          <w:b/>
        </w:rPr>
        <w:t>Publíquese una sola vez en el Boletín Judicial.</w:t>
      </w:r>
    </w:p>
    <w:p w:rsidR="008A322E" w:rsidRPr="000B79D2" w:rsidRDefault="008A322E" w:rsidP="000B79D2">
      <w:pPr>
        <w:widowControl/>
        <w:suppressAutoHyphens w:val="0"/>
        <w:autoSpaceDE w:val="0"/>
        <w:autoSpaceDN w:val="0"/>
        <w:adjustRightInd w:val="0"/>
        <w:jc w:val="both"/>
        <w:rPr>
          <w:b/>
          <w:bCs/>
        </w:rPr>
      </w:pPr>
    </w:p>
    <w:p w:rsidR="00635892" w:rsidRPr="000B79D2" w:rsidRDefault="00635892" w:rsidP="000B79D2">
      <w:pPr>
        <w:widowControl/>
        <w:suppressAutoHyphens w:val="0"/>
        <w:autoSpaceDE w:val="0"/>
        <w:autoSpaceDN w:val="0"/>
        <w:adjustRightInd w:val="0"/>
        <w:jc w:val="both"/>
        <w:rPr>
          <w:rFonts w:eastAsia="Times New Roman"/>
          <w:kern w:val="0"/>
          <w:lang w:eastAsia="es-ES"/>
        </w:rPr>
      </w:pPr>
      <w:r w:rsidRPr="000B79D2">
        <w:rPr>
          <w:b/>
          <w:bCs/>
        </w:rPr>
        <w:t xml:space="preserve">San José, </w:t>
      </w:r>
      <w:r w:rsidR="008F351E">
        <w:rPr>
          <w:b/>
          <w:bCs/>
        </w:rPr>
        <w:t>12 de octubre</w:t>
      </w:r>
      <w:r w:rsidRPr="000B79D2">
        <w:rPr>
          <w:b/>
          <w:bCs/>
        </w:rPr>
        <w:t>de 20</w:t>
      </w:r>
      <w:r w:rsidR="00F11405" w:rsidRPr="000B79D2">
        <w:rPr>
          <w:b/>
          <w:bCs/>
        </w:rPr>
        <w:t>20</w:t>
      </w:r>
      <w:r w:rsidRPr="000B79D2">
        <w:rPr>
          <w:b/>
          <w:bCs/>
        </w:rPr>
        <w:t>.</w:t>
      </w:r>
    </w:p>
    <w:p w:rsidR="004B3975" w:rsidRDefault="004B3975" w:rsidP="000B79D2">
      <w:pPr>
        <w:spacing w:before="100" w:beforeAutospacing="1" w:after="100" w:afterAutospacing="1"/>
        <w:ind w:firstLine="567"/>
        <w:jc w:val="both"/>
        <w:rPr>
          <w:b/>
          <w:bCs/>
          <w:lang w:val="es-ES"/>
        </w:rPr>
      </w:pPr>
    </w:p>
    <w:p w:rsidR="008F351E" w:rsidRPr="000B79D2" w:rsidRDefault="008F351E" w:rsidP="000B79D2">
      <w:pPr>
        <w:spacing w:before="100" w:beforeAutospacing="1" w:after="100" w:afterAutospacing="1"/>
        <w:ind w:firstLine="567"/>
        <w:jc w:val="both"/>
        <w:rPr>
          <w:b/>
          <w:bCs/>
          <w:lang w:val="es-ES"/>
        </w:rPr>
      </w:pPr>
    </w:p>
    <w:p w:rsidR="00635892" w:rsidRPr="000B79D2" w:rsidRDefault="00635892" w:rsidP="000B79D2">
      <w:pPr>
        <w:ind w:firstLine="567"/>
        <w:jc w:val="both"/>
        <w:rPr>
          <w:b/>
          <w:bCs/>
          <w:lang w:val="pt-BR"/>
        </w:rPr>
      </w:pPr>
      <w:r w:rsidRPr="000B79D2">
        <w:rPr>
          <w:b/>
          <w:bCs/>
          <w:lang w:val="pt-BR"/>
        </w:rPr>
        <w:t xml:space="preserve">Lic. </w:t>
      </w:r>
      <w:r w:rsidR="008D5F5B" w:rsidRPr="000B79D2">
        <w:rPr>
          <w:b/>
          <w:bCs/>
          <w:lang w:val="pt-BR"/>
        </w:rPr>
        <w:t>Carlos T. Mora Rodríguez</w:t>
      </w:r>
    </w:p>
    <w:p w:rsidR="00635892" w:rsidRPr="000B79D2" w:rsidRDefault="00635892" w:rsidP="000B79D2">
      <w:pPr>
        <w:ind w:firstLine="567"/>
        <w:jc w:val="both"/>
        <w:rPr>
          <w:b/>
          <w:bCs/>
          <w:lang w:val="pt-BR"/>
        </w:rPr>
      </w:pPr>
      <w:r w:rsidRPr="000B79D2">
        <w:rPr>
          <w:b/>
          <w:bCs/>
          <w:lang w:val="pt-BR"/>
        </w:rPr>
        <w:t>S</w:t>
      </w:r>
      <w:r w:rsidR="008D5F5B" w:rsidRPr="000B79D2">
        <w:rPr>
          <w:b/>
          <w:bCs/>
          <w:lang w:val="pt-BR"/>
        </w:rPr>
        <w:t>ubs</w:t>
      </w:r>
      <w:r w:rsidRPr="000B79D2">
        <w:rPr>
          <w:b/>
          <w:bCs/>
          <w:lang w:val="pt-BR"/>
        </w:rPr>
        <w:t>ecretari</w:t>
      </w:r>
      <w:r w:rsidR="008D5F5B" w:rsidRPr="000B79D2">
        <w:rPr>
          <w:b/>
          <w:bCs/>
          <w:lang w:val="pt-BR"/>
        </w:rPr>
        <w:t>o</w:t>
      </w:r>
      <w:r w:rsidRPr="000B79D2">
        <w:rPr>
          <w:b/>
          <w:bCs/>
          <w:lang w:val="pt-BR"/>
        </w:rPr>
        <w:t xml:space="preserve"> General</w:t>
      </w:r>
      <w:r w:rsidR="008D5F5B" w:rsidRPr="000B79D2">
        <w:rPr>
          <w:b/>
          <w:bCs/>
          <w:lang w:val="pt-BR"/>
        </w:rPr>
        <w:t xml:space="preserve"> interino</w:t>
      </w:r>
    </w:p>
    <w:p w:rsidR="00635892" w:rsidRDefault="00635892" w:rsidP="000B79D2">
      <w:pPr>
        <w:ind w:firstLine="567"/>
        <w:jc w:val="both"/>
        <w:rPr>
          <w:b/>
          <w:bCs/>
          <w:lang w:val="pt-BR"/>
        </w:rPr>
      </w:pPr>
      <w:r w:rsidRPr="000B79D2">
        <w:rPr>
          <w:b/>
          <w:bCs/>
          <w:lang w:val="pt-BR"/>
        </w:rPr>
        <w:t>Corte Suprema de Justicia</w:t>
      </w:r>
    </w:p>
    <w:p w:rsidR="008F351E" w:rsidRPr="000B79D2" w:rsidRDefault="008F351E" w:rsidP="000B79D2">
      <w:pPr>
        <w:ind w:firstLine="567"/>
        <w:jc w:val="both"/>
        <w:rPr>
          <w:b/>
          <w:bCs/>
          <w:lang w:val="pt-BR"/>
        </w:rPr>
      </w:pPr>
    </w:p>
    <w:p w:rsidR="00635892" w:rsidRPr="000B79D2" w:rsidRDefault="00635892" w:rsidP="000B79D2">
      <w:pPr>
        <w:ind w:left="142" w:right="141"/>
        <w:jc w:val="both"/>
        <w:rPr>
          <w:b/>
          <w:bCs/>
          <w:lang w:val="pt-BR"/>
        </w:rPr>
      </w:pPr>
    </w:p>
    <w:p w:rsidR="009C29C0" w:rsidRPr="000B79D2" w:rsidRDefault="00635892" w:rsidP="000B79D2">
      <w:pPr>
        <w:pStyle w:val="NormalWeb"/>
        <w:spacing w:before="0" w:after="0"/>
        <w:ind w:left="142" w:right="141"/>
        <w:jc w:val="both"/>
        <w:rPr>
          <w:b/>
          <w:bCs/>
          <w:i/>
          <w:lang w:val="pt-BR"/>
        </w:rPr>
      </w:pPr>
      <w:r w:rsidRPr="000B79D2">
        <w:rPr>
          <w:i/>
          <w:lang w:val="pt-BR"/>
        </w:rPr>
        <w:t xml:space="preserve">Ref.: </w:t>
      </w:r>
      <w:r w:rsidR="008F351E">
        <w:rPr>
          <w:i/>
          <w:lang w:val="pt-BR"/>
        </w:rPr>
        <w:t>8916, 10981-2020</w:t>
      </w:r>
      <w:r w:rsidR="008A322E" w:rsidRPr="000B79D2">
        <w:rPr>
          <w:i/>
          <w:lang w:val="pt-BR"/>
        </w:rPr>
        <w:t>/</w:t>
      </w:r>
      <w:r w:rsidR="008F351E">
        <w:rPr>
          <w:i/>
          <w:lang w:val="pt-BR"/>
        </w:rPr>
        <w:t>Andrea</w:t>
      </w:r>
    </w:p>
    <w:sectPr w:rsidR="009C29C0" w:rsidRPr="000B79D2" w:rsidSect="00B804DF">
      <w:headerReference w:type="default" r:id="rId7"/>
      <w:footnotePr>
        <w:pos w:val="beneathText"/>
      </w:footnotePr>
      <w:pgSz w:w="12240" w:h="15840"/>
      <w:pgMar w:top="2268" w:right="1750" w:bottom="1276" w:left="1701" w:header="70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36A" w:rsidRDefault="00C8136A">
      <w:r>
        <w:separator/>
      </w:r>
    </w:p>
  </w:endnote>
  <w:endnote w:type="continuationSeparator" w:id="1">
    <w:p w:rsidR="00C8136A" w:rsidRDefault="00C8136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36A" w:rsidRDefault="00C8136A">
      <w:r>
        <w:separator/>
      </w:r>
    </w:p>
  </w:footnote>
  <w:footnote w:type="continuationSeparator" w:id="1">
    <w:p w:rsidR="00C8136A" w:rsidRDefault="00C81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FE" w:rsidRDefault="00614EFC">
    <w:pPr>
      <w:pStyle w:val="Encabezado"/>
      <w:tabs>
        <w:tab w:val="clear" w:pos="4986"/>
        <w:tab w:val="clear" w:pos="9972"/>
        <w:tab w:val="left" w:pos="709"/>
        <w:tab w:val="center" w:pos="4419"/>
        <w:tab w:val="right" w:pos="8838"/>
      </w:tabs>
    </w:pPr>
    <w:r w:rsidRPr="00614EFC">
      <w:rPr>
        <w:noProof/>
      </w:rPr>
      <w:pict>
        <v:shapetype id="_x0000_t202" coordsize="21600,21600" o:spt="202" path="m,l,21600r21600,l21600,xe">
          <v:stroke joinstyle="miter"/>
          <v:path gradientshapeok="t" o:connecttype="rect"/>
        </v:shapetype>
        <v:shape id="Text Box 1" o:spid="_x0000_s6145" type="#_x0000_t202" style="position:absolute;margin-left:0;margin-top:-.55pt;width:52.2pt;height:58.7pt;z-index:-25165875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" stroked="f">
          <v:textbox inset="0,0,0,0">
            <w:txbxContent>
              <w:p w:rsidR="00D44CFE" w:rsidRDefault="00F11405">
                <w:r>
                  <w:rPr>
                    <w:noProof/>
                    <w:lang w:val="es-ES" w:eastAsia="es-ES"/>
                  </w:rPr>
                  <w:drawing>
                    <wp:inline distT="0" distB="0" distL="0" distR="0">
                      <wp:extent cx="676275" cy="762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762000"/>
                              </a:xfrm>
                              <a:prstGeom prst="rect">
                                <a:avLst/>
                              </a:prstGeom>
                              <a:solidFill>
                                <a:srgbClr val="FFFFFF"/>
                              </a:solidFill>
                              <a:ln>
                                <a:noFill/>
                              </a:ln>
                            </pic:spPr>
                          </pic:pic>
                        </a:graphicData>
                      </a:graphic>
                    </wp:inline>
                  </w:drawing>
                </w:r>
              </w:p>
            </w:txbxContent>
          </v:textbox>
        </v:shape>
      </w:pict>
    </w:r>
  </w:p>
  <w:p w:rsidR="00D44CFE" w:rsidRDefault="00D44CFE">
    <w:pPr>
      <w:pStyle w:val="Encabezado"/>
      <w:tabs>
        <w:tab w:val="clear" w:pos="4986"/>
        <w:tab w:val="clear" w:pos="9972"/>
        <w:tab w:val="left" w:pos="709"/>
        <w:tab w:val="center" w:pos="4419"/>
        <w:tab w:val="right" w:pos="8838"/>
      </w:tabs>
      <w:rPr>
        <w:b/>
        <w:i/>
        <w:lang w:val="es-CR"/>
      </w:rPr>
    </w:pPr>
    <w:r>
      <w:rPr>
        <w:b/>
        <w:i/>
        <w:lang w:val="es-CR"/>
      </w:rPr>
      <w:t>Corte Suprema de Justicia</w:t>
    </w:r>
  </w:p>
  <w:p w:rsidR="00D44CFE" w:rsidRDefault="00D44CFE">
    <w:pPr>
      <w:rPr>
        <w:b/>
        <w:bCs/>
        <w:i/>
        <w:iCs/>
      </w:rPr>
    </w:pPr>
    <w:r>
      <w:rPr>
        <w:b/>
        <w:bCs/>
        <w:i/>
        <w:iCs/>
      </w:rPr>
      <w:t xml:space="preserve">                           Secretaría General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8049F"/>
    <w:multiLevelType w:val="hybridMultilevel"/>
    <w:tmpl w:val="CC683F68"/>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nsid w:val="2541724E"/>
    <w:multiLevelType w:val="hybridMultilevel"/>
    <w:tmpl w:val="D0422C7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E3F7358"/>
    <w:multiLevelType w:val="hybridMultilevel"/>
    <w:tmpl w:val="8C9A728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651F11C9"/>
    <w:multiLevelType w:val="hybridMultilevel"/>
    <w:tmpl w:val="530ED950"/>
    <w:lvl w:ilvl="0" w:tplc="769CC738">
      <w:start w:val="1"/>
      <w:numFmt w:val="decimal"/>
      <w:lvlText w:val="%1."/>
      <w:lvlJc w:val="left"/>
      <w:pPr>
        <w:ind w:left="1920" w:hanging="360"/>
      </w:pPr>
      <w:rPr>
        <w:rFonts w:ascii="Times New Roman" w:eastAsia="Calibri" w:hAnsi="Times New Roman" w:cs="Times New Roman"/>
        <w:b w:val="0"/>
        <w:color w:val="000000" w:themeColor="text1"/>
        <w:sz w:val="26"/>
      </w:rPr>
    </w:lvl>
    <w:lvl w:ilvl="1" w:tplc="140A0019">
      <w:start w:val="1"/>
      <w:numFmt w:val="lowerLetter"/>
      <w:lvlText w:val="%2."/>
      <w:lvlJc w:val="left"/>
      <w:pPr>
        <w:ind w:left="2640" w:hanging="360"/>
      </w:pPr>
    </w:lvl>
    <w:lvl w:ilvl="2" w:tplc="140A001B" w:tentative="1">
      <w:start w:val="1"/>
      <w:numFmt w:val="lowerRoman"/>
      <w:lvlText w:val="%3."/>
      <w:lvlJc w:val="right"/>
      <w:pPr>
        <w:ind w:left="3360" w:hanging="180"/>
      </w:pPr>
    </w:lvl>
    <w:lvl w:ilvl="3" w:tplc="140A000F" w:tentative="1">
      <w:start w:val="1"/>
      <w:numFmt w:val="decimal"/>
      <w:lvlText w:val="%4."/>
      <w:lvlJc w:val="left"/>
      <w:pPr>
        <w:ind w:left="4080" w:hanging="360"/>
      </w:pPr>
    </w:lvl>
    <w:lvl w:ilvl="4" w:tplc="140A0019" w:tentative="1">
      <w:start w:val="1"/>
      <w:numFmt w:val="lowerLetter"/>
      <w:lvlText w:val="%5."/>
      <w:lvlJc w:val="left"/>
      <w:pPr>
        <w:ind w:left="4800" w:hanging="360"/>
      </w:pPr>
    </w:lvl>
    <w:lvl w:ilvl="5" w:tplc="140A001B" w:tentative="1">
      <w:start w:val="1"/>
      <w:numFmt w:val="lowerRoman"/>
      <w:lvlText w:val="%6."/>
      <w:lvlJc w:val="right"/>
      <w:pPr>
        <w:ind w:left="5520" w:hanging="180"/>
      </w:pPr>
    </w:lvl>
    <w:lvl w:ilvl="6" w:tplc="140A000F" w:tentative="1">
      <w:start w:val="1"/>
      <w:numFmt w:val="decimal"/>
      <w:lvlText w:val="%7."/>
      <w:lvlJc w:val="left"/>
      <w:pPr>
        <w:ind w:left="6240" w:hanging="360"/>
      </w:pPr>
    </w:lvl>
    <w:lvl w:ilvl="7" w:tplc="140A0019" w:tentative="1">
      <w:start w:val="1"/>
      <w:numFmt w:val="lowerLetter"/>
      <w:lvlText w:val="%8."/>
      <w:lvlJc w:val="left"/>
      <w:pPr>
        <w:ind w:left="6960" w:hanging="360"/>
      </w:pPr>
    </w:lvl>
    <w:lvl w:ilvl="8" w:tplc="140A001B" w:tentative="1">
      <w:start w:val="1"/>
      <w:numFmt w:val="lowerRoman"/>
      <w:lvlText w:val="%9."/>
      <w:lvlJc w:val="right"/>
      <w:pPr>
        <w:ind w:left="76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8"/>
    <o:shapelayout v:ext="edit">
      <o:idmap v:ext="edit" data="6"/>
    </o:shapelayout>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doNotUseHTMLParagraphAutoSpacing/>
  </w:compat>
  <w:rsids>
    <w:rsidRoot w:val="009009F1"/>
    <w:rsid w:val="00005DBB"/>
    <w:rsid w:val="00010D3D"/>
    <w:rsid w:val="000405C8"/>
    <w:rsid w:val="00045081"/>
    <w:rsid w:val="00047F88"/>
    <w:rsid w:val="00064E7C"/>
    <w:rsid w:val="00065358"/>
    <w:rsid w:val="000702C6"/>
    <w:rsid w:val="0007249A"/>
    <w:rsid w:val="00083678"/>
    <w:rsid w:val="00090BD7"/>
    <w:rsid w:val="000913E8"/>
    <w:rsid w:val="0009588A"/>
    <w:rsid w:val="000A240D"/>
    <w:rsid w:val="000B174C"/>
    <w:rsid w:val="000B628E"/>
    <w:rsid w:val="000B79D2"/>
    <w:rsid w:val="000C1E97"/>
    <w:rsid w:val="000C4BB9"/>
    <w:rsid w:val="000C7EEA"/>
    <w:rsid w:val="000D3CD0"/>
    <w:rsid w:val="000E11E3"/>
    <w:rsid w:val="000E70A7"/>
    <w:rsid w:val="000F1BD9"/>
    <w:rsid w:val="000F55FD"/>
    <w:rsid w:val="0013147D"/>
    <w:rsid w:val="00136BD6"/>
    <w:rsid w:val="00146DF3"/>
    <w:rsid w:val="001479B9"/>
    <w:rsid w:val="00157B3C"/>
    <w:rsid w:val="00162DE0"/>
    <w:rsid w:val="0016722E"/>
    <w:rsid w:val="00167459"/>
    <w:rsid w:val="00167DC6"/>
    <w:rsid w:val="0018089D"/>
    <w:rsid w:val="001839FC"/>
    <w:rsid w:val="0018797B"/>
    <w:rsid w:val="00190C63"/>
    <w:rsid w:val="001A52C9"/>
    <w:rsid w:val="001B1476"/>
    <w:rsid w:val="001C044B"/>
    <w:rsid w:val="001D2DC4"/>
    <w:rsid w:val="001D7814"/>
    <w:rsid w:val="001E26DA"/>
    <w:rsid w:val="001E4215"/>
    <w:rsid w:val="001E657B"/>
    <w:rsid w:val="001E76F2"/>
    <w:rsid w:val="001F1B22"/>
    <w:rsid w:val="00204912"/>
    <w:rsid w:val="002131FA"/>
    <w:rsid w:val="00214880"/>
    <w:rsid w:val="00224481"/>
    <w:rsid w:val="002359A4"/>
    <w:rsid w:val="002367C2"/>
    <w:rsid w:val="002404AE"/>
    <w:rsid w:val="0024558D"/>
    <w:rsid w:val="00246CE0"/>
    <w:rsid w:val="002538FF"/>
    <w:rsid w:val="00254CF0"/>
    <w:rsid w:val="0025527E"/>
    <w:rsid w:val="002634A2"/>
    <w:rsid w:val="00263914"/>
    <w:rsid w:val="00277268"/>
    <w:rsid w:val="00281F04"/>
    <w:rsid w:val="002825D7"/>
    <w:rsid w:val="002853F4"/>
    <w:rsid w:val="002857DD"/>
    <w:rsid w:val="00287534"/>
    <w:rsid w:val="0029023D"/>
    <w:rsid w:val="00291407"/>
    <w:rsid w:val="0029304A"/>
    <w:rsid w:val="002930C2"/>
    <w:rsid w:val="002A3B0D"/>
    <w:rsid w:val="002A5B52"/>
    <w:rsid w:val="002B0955"/>
    <w:rsid w:val="002B2838"/>
    <w:rsid w:val="002B3768"/>
    <w:rsid w:val="002B4CE4"/>
    <w:rsid w:val="002C23C5"/>
    <w:rsid w:val="002C4203"/>
    <w:rsid w:val="002C7C70"/>
    <w:rsid w:val="002E2530"/>
    <w:rsid w:val="002F288C"/>
    <w:rsid w:val="002F63B8"/>
    <w:rsid w:val="002F7A6A"/>
    <w:rsid w:val="00301ADF"/>
    <w:rsid w:val="00302877"/>
    <w:rsid w:val="00307884"/>
    <w:rsid w:val="003079AF"/>
    <w:rsid w:val="00311386"/>
    <w:rsid w:val="00315EC7"/>
    <w:rsid w:val="0032088B"/>
    <w:rsid w:val="00322B4B"/>
    <w:rsid w:val="00334B72"/>
    <w:rsid w:val="00341C02"/>
    <w:rsid w:val="0034244E"/>
    <w:rsid w:val="00343803"/>
    <w:rsid w:val="0034790C"/>
    <w:rsid w:val="003559C4"/>
    <w:rsid w:val="003644B6"/>
    <w:rsid w:val="003678B3"/>
    <w:rsid w:val="00372F0E"/>
    <w:rsid w:val="0037610C"/>
    <w:rsid w:val="003769AA"/>
    <w:rsid w:val="003817E2"/>
    <w:rsid w:val="00392B19"/>
    <w:rsid w:val="003964FD"/>
    <w:rsid w:val="003A1DC8"/>
    <w:rsid w:val="003A4EA7"/>
    <w:rsid w:val="003B60FC"/>
    <w:rsid w:val="003C11EF"/>
    <w:rsid w:val="003C6AC0"/>
    <w:rsid w:val="003C7AD1"/>
    <w:rsid w:val="003D1FC1"/>
    <w:rsid w:val="003E7067"/>
    <w:rsid w:val="003F24BA"/>
    <w:rsid w:val="003F725D"/>
    <w:rsid w:val="004000A6"/>
    <w:rsid w:val="00406BD2"/>
    <w:rsid w:val="00410E73"/>
    <w:rsid w:val="00411622"/>
    <w:rsid w:val="004157BB"/>
    <w:rsid w:val="0041588F"/>
    <w:rsid w:val="00416D48"/>
    <w:rsid w:val="00417FCE"/>
    <w:rsid w:val="00422531"/>
    <w:rsid w:val="00427CBC"/>
    <w:rsid w:val="004354E5"/>
    <w:rsid w:val="00440FC5"/>
    <w:rsid w:val="00446CE8"/>
    <w:rsid w:val="00453A6A"/>
    <w:rsid w:val="00454E25"/>
    <w:rsid w:val="004605BC"/>
    <w:rsid w:val="0046689F"/>
    <w:rsid w:val="00475AD4"/>
    <w:rsid w:val="004808D5"/>
    <w:rsid w:val="00484772"/>
    <w:rsid w:val="00487330"/>
    <w:rsid w:val="00490AAE"/>
    <w:rsid w:val="00493DA0"/>
    <w:rsid w:val="00497DB8"/>
    <w:rsid w:val="004A512C"/>
    <w:rsid w:val="004B2A9B"/>
    <w:rsid w:val="004B3975"/>
    <w:rsid w:val="004B6DC3"/>
    <w:rsid w:val="004C3481"/>
    <w:rsid w:val="004C416D"/>
    <w:rsid w:val="004D2E3D"/>
    <w:rsid w:val="004E73A7"/>
    <w:rsid w:val="004F00CB"/>
    <w:rsid w:val="004F31AA"/>
    <w:rsid w:val="00500CE7"/>
    <w:rsid w:val="005034C4"/>
    <w:rsid w:val="0051662F"/>
    <w:rsid w:val="00517047"/>
    <w:rsid w:val="00523C17"/>
    <w:rsid w:val="0052701A"/>
    <w:rsid w:val="00537936"/>
    <w:rsid w:val="00543B67"/>
    <w:rsid w:val="00545EB9"/>
    <w:rsid w:val="00566F6F"/>
    <w:rsid w:val="005703F6"/>
    <w:rsid w:val="00575E27"/>
    <w:rsid w:val="00577ED0"/>
    <w:rsid w:val="005B2A04"/>
    <w:rsid w:val="005C1252"/>
    <w:rsid w:val="005C21C7"/>
    <w:rsid w:val="005C48B3"/>
    <w:rsid w:val="005D18BA"/>
    <w:rsid w:val="005E4728"/>
    <w:rsid w:val="006029C0"/>
    <w:rsid w:val="00606B75"/>
    <w:rsid w:val="00614EFC"/>
    <w:rsid w:val="00615084"/>
    <w:rsid w:val="00630712"/>
    <w:rsid w:val="00635892"/>
    <w:rsid w:val="00635A1D"/>
    <w:rsid w:val="006411F3"/>
    <w:rsid w:val="006424E9"/>
    <w:rsid w:val="0064477F"/>
    <w:rsid w:val="0065178F"/>
    <w:rsid w:val="00654AAF"/>
    <w:rsid w:val="006576FF"/>
    <w:rsid w:val="00661104"/>
    <w:rsid w:val="0066360A"/>
    <w:rsid w:val="00664025"/>
    <w:rsid w:val="006716E5"/>
    <w:rsid w:val="00672C36"/>
    <w:rsid w:val="006750EE"/>
    <w:rsid w:val="00686172"/>
    <w:rsid w:val="006870DD"/>
    <w:rsid w:val="0069455D"/>
    <w:rsid w:val="00695EA1"/>
    <w:rsid w:val="00697398"/>
    <w:rsid w:val="006A1B90"/>
    <w:rsid w:val="006A6CE9"/>
    <w:rsid w:val="006B01ED"/>
    <w:rsid w:val="006B7178"/>
    <w:rsid w:val="006C641F"/>
    <w:rsid w:val="006D0A32"/>
    <w:rsid w:val="006E2656"/>
    <w:rsid w:val="006E4124"/>
    <w:rsid w:val="006F0D7A"/>
    <w:rsid w:val="006F5497"/>
    <w:rsid w:val="00706138"/>
    <w:rsid w:val="00707F47"/>
    <w:rsid w:val="00713E76"/>
    <w:rsid w:val="00737B25"/>
    <w:rsid w:val="007410CF"/>
    <w:rsid w:val="00755E40"/>
    <w:rsid w:val="007569B3"/>
    <w:rsid w:val="00770362"/>
    <w:rsid w:val="00770F38"/>
    <w:rsid w:val="0079188F"/>
    <w:rsid w:val="007926AA"/>
    <w:rsid w:val="00796182"/>
    <w:rsid w:val="00796D94"/>
    <w:rsid w:val="007A32F0"/>
    <w:rsid w:val="007A5005"/>
    <w:rsid w:val="007B0465"/>
    <w:rsid w:val="007C0446"/>
    <w:rsid w:val="007C13A5"/>
    <w:rsid w:val="007C170A"/>
    <w:rsid w:val="007E7A1B"/>
    <w:rsid w:val="007F3661"/>
    <w:rsid w:val="007F3A1D"/>
    <w:rsid w:val="007F79C4"/>
    <w:rsid w:val="00800C0A"/>
    <w:rsid w:val="00801122"/>
    <w:rsid w:val="008043AE"/>
    <w:rsid w:val="008055DA"/>
    <w:rsid w:val="008112CA"/>
    <w:rsid w:val="00817BB3"/>
    <w:rsid w:val="00822F53"/>
    <w:rsid w:val="008236FE"/>
    <w:rsid w:val="00830831"/>
    <w:rsid w:val="0083109E"/>
    <w:rsid w:val="008314B3"/>
    <w:rsid w:val="00831EF9"/>
    <w:rsid w:val="008328D2"/>
    <w:rsid w:val="00850BDA"/>
    <w:rsid w:val="0085577A"/>
    <w:rsid w:val="008606F3"/>
    <w:rsid w:val="008641DA"/>
    <w:rsid w:val="0086607B"/>
    <w:rsid w:val="0087675D"/>
    <w:rsid w:val="00881E6E"/>
    <w:rsid w:val="00884220"/>
    <w:rsid w:val="008932BA"/>
    <w:rsid w:val="00895FE6"/>
    <w:rsid w:val="008A040C"/>
    <w:rsid w:val="008A322E"/>
    <w:rsid w:val="008A5E64"/>
    <w:rsid w:val="008A7FD2"/>
    <w:rsid w:val="008B114C"/>
    <w:rsid w:val="008B4517"/>
    <w:rsid w:val="008C0A78"/>
    <w:rsid w:val="008C0CBA"/>
    <w:rsid w:val="008C18FE"/>
    <w:rsid w:val="008C1985"/>
    <w:rsid w:val="008C7D91"/>
    <w:rsid w:val="008D3421"/>
    <w:rsid w:val="008D5F5B"/>
    <w:rsid w:val="008D71C8"/>
    <w:rsid w:val="008E26BC"/>
    <w:rsid w:val="008E6E46"/>
    <w:rsid w:val="008F351E"/>
    <w:rsid w:val="009009F1"/>
    <w:rsid w:val="00902078"/>
    <w:rsid w:val="009023B3"/>
    <w:rsid w:val="00903D06"/>
    <w:rsid w:val="00906619"/>
    <w:rsid w:val="009366A3"/>
    <w:rsid w:val="0094130E"/>
    <w:rsid w:val="0094541C"/>
    <w:rsid w:val="00945F8B"/>
    <w:rsid w:val="009473F8"/>
    <w:rsid w:val="00950A29"/>
    <w:rsid w:val="00951B80"/>
    <w:rsid w:val="00954017"/>
    <w:rsid w:val="0095524D"/>
    <w:rsid w:val="00956815"/>
    <w:rsid w:val="00971DA1"/>
    <w:rsid w:val="00973CD9"/>
    <w:rsid w:val="00986931"/>
    <w:rsid w:val="00996707"/>
    <w:rsid w:val="009A2732"/>
    <w:rsid w:val="009A7D03"/>
    <w:rsid w:val="009B2055"/>
    <w:rsid w:val="009B341D"/>
    <w:rsid w:val="009C29C0"/>
    <w:rsid w:val="009C2A42"/>
    <w:rsid w:val="009C6D64"/>
    <w:rsid w:val="009E017C"/>
    <w:rsid w:val="009E413D"/>
    <w:rsid w:val="009F1689"/>
    <w:rsid w:val="009F1A66"/>
    <w:rsid w:val="00A02C38"/>
    <w:rsid w:val="00A0685D"/>
    <w:rsid w:val="00A13370"/>
    <w:rsid w:val="00A13436"/>
    <w:rsid w:val="00A22DAD"/>
    <w:rsid w:val="00A2675A"/>
    <w:rsid w:val="00A31149"/>
    <w:rsid w:val="00A36F22"/>
    <w:rsid w:val="00A37C7E"/>
    <w:rsid w:val="00A37CA8"/>
    <w:rsid w:val="00A41CDD"/>
    <w:rsid w:val="00A42198"/>
    <w:rsid w:val="00A5270C"/>
    <w:rsid w:val="00A74E71"/>
    <w:rsid w:val="00A82F3A"/>
    <w:rsid w:val="00A92502"/>
    <w:rsid w:val="00A92BAD"/>
    <w:rsid w:val="00A9321A"/>
    <w:rsid w:val="00A963C3"/>
    <w:rsid w:val="00AA2F43"/>
    <w:rsid w:val="00AA3C6B"/>
    <w:rsid w:val="00AA42E2"/>
    <w:rsid w:val="00AA6E6D"/>
    <w:rsid w:val="00AB0593"/>
    <w:rsid w:val="00AB624E"/>
    <w:rsid w:val="00AB66FF"/>
    <w:rsid w:val="00AD1340"/>
    <w:rsid w:val="00AD17FF"/>
    <w:rsid w:val="00AD54B7"/>
    <w:rsid w:val="00AE0411"/>
    <w:rsid w:val="00AE6A38"/>
    <w:rsid w:val="00AF1148"/>
    <w:rsid w:val="00AF3C2E"/>
    <w:rsid w:val="00B0260F"/>
    <w:rsid w:val="00B1647F"/>
    <w:rsid w:val="00B24B22"/>
    <w:rsid w:val="00B323B3"/>
    <w:rsid w:val="00B33076"/>
    <w:rsid w:val="00B56F9E"/>
    <w:rsid w:val="00B61A0B"/>
    <w:rsid w:val="00B760FB"/>
    <w:rsid w:val="00B77009"/>
    <w:rsid w:val="00B804DF"/>
    <w:rsid w:val="00B86100"/>
    <w:rsid w:val="00B924F9"/>
    <w:rsid w:val="00B92DE4"/>
    <w:rsid w:val="00B9482C"/>
    <w:rsid w:val="00B96AE2"/>
    <w:rsid w:val="00BA7FAF"/>
    <w:rsid w:val="00BB045C"/>
    <w:rsid w:val="00BB6EEA"/>
    <w:rsid w:val="00BC10FB"/>
    <w:rsid w:val="00BC1D92"/>
    <w:rsid w:val="00BC2CE7"/>
    <w:rsid w:val="00BD0CCD"/>
    <w:rsid w:val="00BD0DB2"/>
    <w:rsid w:val="00BD603F"/>
    <w:rsid w:val="00BD6846"/>
    <w:rsid w:val="00BE4438"/>
    <w:rsid w:val="00BE4F86"/>
    <w:rsid w:val="00BE718A"/>
    <w:rsid w:val="00BF18BF"/>
    <w:rsid w:val="00BF1B43"/>
    <w:rsid w:val="00BF37D6"/>
    <w:rsid w:val="00BF4A12"/>
    <w:rsid w:val="00C072BF"/>
    <w:rsid w:val="00C10890"/>
    <w:rsid w:val="00C10914"/>
    <w:rsid w:val="00C11CF4"/>
    <w:rsid w:val="00C30FCB"/>
    <w:rsid w:val="00C33748"/>
    <w:rsid w:val="00C34914"/>
    <w:rsid w:val="00C43097"/>
    <w:rsid w:val="00C4674C"/>
    <w:rsid w:val="00C51A93"/>
    <w:rsid w:val="00C56B61"/>
    <w:rsid w:val="00C61DD9"/>
    <w:rsid w:val="00C62509"/>
    <w:rsid w:val="00C6690D"/>
    <w:rsid w:val="00C66C8B"/>
    <w:rsid w:val="00C706F4"/>
    <w:rsid w:val="00C72375"/>
    <w:rsid w:val="00C72EEF"/>
    <w:rsid w:val="00C76769"/>
    <w:rsid w:val="00C8136A"/>
    <w:rsid w:val="00C82F5E"/>
    <w:rsid w:val="00C87428"/>
    <w:rsid w:val="00C95ED3"/>
    <w:rsid w:val="00CA6548"/>
    <w:rsid w:val="00CB2E85"/>
    <w:rsid w:val="00CC069C"/>
    <w:rsid w:val="00CE2E60"/>
    <w:rsid w:val="00CE564D"/>
    <w:rsid w:val="00CF5C21"/>
    <w:rsid w:val="00D00380"/>
    <w:rsid w:val="00D0229A"/>
    <w:rsid w:val="00D03F35"/>
    <w:rsid w:val="00D112B6"/>
    <w:rsid w:val="00D21239"/>
    <w:rsid w:val="00D22DBE"/>
    <w:rsid w:val="00D23AAB"/>
    <w:rsid w:val="00D26196"/>
    <w:rsid w:val="00D266E5"/>
    <w:rsid w:val="00D31DF7"/>
    <w:rsid w:val="00D36003"/>
    <w:rsid w:val="00D36B56"/>
    <w:rsid w:val="00D36D90"/>
    <w:rsid w:val="00D44CFE"/>
    <w:rsid w:val="00D55542"/>
    <w:rsid w:val="00D57316"/>
    <w:rsid w:val="00D6066D"/>
    <w:rsid w:val="00D62D5E"/>
    <w:rsid w:val="00D63D2B"/>
    <w:rsid w:val="00D659E4"/>
    <w:rsid w:val="00D76CBB"/>
    <w:rsid w:val="00D802F6"/>
    <w:rsid w:val="00D80966"/>
    <w:rsid w:val="00D82870"/>
    <w:rsid w:val="00D82BD1"/>
    <w:rsid w:val="00D87B00"/>
    <w:rsid w:val="00D94569"/>
    <w:rsid w:val="00D94E2D"/>
    <w:rsid w:val="00DA1418"/>
    <w:rsid w:val="00DA4AF7"/>
    <w:rsid w:val="00DA5344"/>
    <w:rsid w:val="00DD2501"/>
    <w:rsid w:val="00DE20C0"/>
    <w:rsid w:val="00DF2C8F"/>
    <w:rsid w:val="00E0020F"/>
    <w:rsid w:val="00E05E44"/>
    <w:rsid w:val="00E17BED"/>
    <w:rsid w:val="00E24586"/>
    <w:rsid w:val="00E26C37"/>
    <w:rsid w:val="00E405F2"/>
    <w:rsid w:val="00E51021"/>
    <w:rsid w:val="00E57928"/>
    <w:rsid w:val="00E638DA"/>
    <w:rsid w:val="00E76B03"/>
    <w:rsid w:val="00E90BC5"/>
    <w:rsid w:val="00EA48CB"/>
    <w:rsid w:val="00EA5E4A"/>
    <w:rsid w:val="00EB699C"/>
    <w:rsid w:val="00EC2982"/>
    <w:rsid w:val="00ED0EB6"/>
    <w:rsid w:val="00ED7692"/>
    <w:rsid w:val="00EE1747"/>
    <w:rsid w:val="00EE4937"/>
    <w:rsid w:val="00EF6272"/>
    <w:rsid w:val="00EF6953"/>
    <w:rsid w:val="00F01A7E"/>
    <w:rsid w:val="00F04EB6"/>
    <w:rsid w:val="00F05A62"/>
    <w:rsid w:val="00F11405"/>
    <w:rsid w:val="00F136A6"/>
    <w:rsid w:val="00F1380F"/>
    <w:rsid w:val="00F24300"/>
    <w:rsid w:val="00F250C3"/>
    <w:rsid w:val="00F25932"/>
    <w:rsid w:val="00F370C6"/>
    <w:rsid w:val="00F42F63"/>
    <w:rsid w:val="00F46E7C"/>
    <w:rsid w:val="00F60D84"/>
    <w:rsid w:val="00F6713A"/>
    <w:rsid w:val="00F67287"/>
    <w:rsid w:val="00F679AA"/>
    <w:rsid w:val="00F7626C"/>
    <w:rsid w:val="00F769CA"/>
    <w:rsid w:val="00F83E99"/>
    <w:rsid w:val="00F84D4F"/>
    <w:rsid w:val="00F84EB4"/>
    <w:rsid w:val="00F915D9"/>
    <w:rsid w:val="00F95382"/>
    <w:rsid w:val="00FA2E40"/>
    <w:rsid w:val="00FC1143"/>
    <w:rsid w:val="00FD6425"/>
    <w:rsid w:val="00FF239E"/>
    <w:rsid w:val="00FF49D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678"/>
    <w:pPr>
      <w:widowControl w:val="0"/>
      <w:suppressAutoHyphens/>
    </w:pPr>
    <w:rPr>
      <w:rFonts w:eastAsia="Arial Unicode MS"/>
      <w:kern w:val="1"/>
      <w:sz w:val="24"/>
      <w:szCs w:val="24"/>
      <w:lang w:val="es-ES_tradnl"/>
    </w:rPr>
  </w:style>
  <w:style w:type="paragraph" w:styleId="Ttulo1">
    <w:name w:val="heading 1"/>
    <w:basedOn w:val="Normal"/>
    <w:next w:val="Normal"/>
    <w:qFormat/>
    <w:rsid w:val="007A32F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A32F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B0593"/>
    <w:pPr>
      <w:widowControl/>
      <w:suppressAutoHyphens w:val="0"/>
      <w:autoSpaceDE w:val="0"/>
      <w:autoSpaceDN w:val="0"/>
      <w:adjustRightInd w:val="0"/>
      <w:outlineLvl w:val="2"/>
    </w:pPr>
    <w:rPr>
      <w:rFonts w:eastAsia="Times New Roman"/>
      <w:kern w:val="0"/>
      <w:lang w:val="es-ES" w:eastAsia="es-ES"/>
    </w:rPr>
  </w:style>
  <w:style w:type="paragraph" w:styleId="Ttulo4">
    <w:name w:val="heading 4"/>
    <w:basedOn w:val="Normal"/>
    <w:next w:val="Normal"/>
    <w:qFormat/>
    <w:rsid w:val="007A32F0"/>
    <w:pPr>
      <w:keepNext/>
      <w:spacing w:before="240" w:after="60"/>
      <w:outlineLvl w:val="3"/>
    </w:pPr>
    <w:rPr>
      <w:b/>
      <w:bCs/>
      <w:sz w:val="28"/>
      <w:szCs w:val="28"/>
    </w:rPr>
  </w:style>
  <w:style w:type="paragraph" w:styleId="Ttulo5">
    <w:name w:val="heading 5"/>
    <w:basedOn w:val="Normal"/>
    <w:next w:val="Normal"/>
    <w:qFormat/>
    <w:rsid w:val="007A32F0"/>
    <w:pPr>
      <w:spacing w:before="240" w:after="60"/>
      <w:outlineLvl w:val="4"/>
    </w:pPr>
    <w:rPr>
      <w:b/>
      <w:bCs/>
      <w:i/>
      <w:iCs/>
      <w:sz w:val="26"/>
      <w:szCs w:val="26"/>
    </w:rPr>
  </w:style>
  <w:style w:type="paragraph" w:styleId="Ttulo7">
    <w:name w:val="heading 7"/>
    <w:basedOn w:val="Normal"/>
    <w:next w:val="Normal"/>
    <w:qFormat/>
    <w:rsid w:val="00796D94"/>
    <w:pPr>
      <w:spacing w:before="240" w:after="60"/>
      <w:outlineLvl w:val="6"/>
    </w:pPr>
  </w:style>
  <w:style w:type="paragraph" w:styleId="Ttulo8">
    <w:name w:val="heading 8"/>
    <w:basedOn w:val="Normal"/>
    <w:next w:val="Normal"/>
    <w:qFormat/>
    <w:rsid w:val="007A32F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083678"/>
  </w:style>
  <w:style w:type="character" w:customStyle="1" w:styleId="WW-Absatz-Standardschriftart">
    <w:name w:val="WW-Absatz-Standardschriftart"/>
    <w:rsid w:val="00083678"/>
  </w:style>
  <w:style w:type="character" w:customStyle="1" w:styleId="WW-Absatz-Standardschriftart1">
    <w:name w:val="WW-Absatz-Standardschriftart1"/>
    <w:rsid w:val="00083678"/>
  </w:style>
  <w:style w:type="character" w:customStyle="1" w:styleId="Fuentedeprrafopredeter2">
    <w:name w:val="Fuente de párrafo predeter.2"/>
    <w:rsid w:val="00083678"/>
  </w:style>
  <w:style w:type="character" w:customStyle="1" w:styleId="WW-Absatz-Standardschriftart11">
    <w:name w:val="WW-Absatz-Standardschriftart11"/>
    <w:rsid w:val="00083678"/>
  </w:style>
  <w:style w:type="character" w:customStyle="1" w:styleId="Fuentedeprrafopredeter1">
    <w:name w:val="Fuente de párrafo predeter.1"/>
    <w:rsid w:val="00083678"/>
  </w:style>
  <w:style w:type="character" w:styleId="Hipervnculo">
    <w:name w:val="Hyperlink"/>
    <w:rsid w:val="00083678"/>
    <w:rPr>
      <w:color w:val="0000FF"/>
      <w:u w:val="single"/>
    </w:rPr>
  </w:style>
  <w:style w:type="paragraph" w:customStyle="1" w:styleId="Encabezado2">
    <w:name w:val="Encabezado2"/>
    <w:basedOn w:val="Normal"/>
    <w:next w:val="Textoindependiente"/>
    <w:rsid w:val="00083678"/>
    <w:pPr>
      <w:keepNext/>
      <w:spacing w:before="240" w:after="120"/>
    </w:pPr>
    <w:rPr>
      <w:rFonts w:ascii="Arial" w:hAnsi="Arial" w:cs="Tahoma"/>
      <w:sz w:val="28"/>
      <w:szCs w:val="28"/>
    </w:rPr>
  </w:style>
  <w:style w:type="paragraph" w:styleId="Textoindependiente">
    <w:name w:val="Body Text"/>
    <w:basedOn w:val="Normal"/>
    <w:rsid w:val="00083678"/>
    <w:pPr>
      <w:spacing w:after="120"/>
    </w:pPr>
  </w:style>
  <w:style w:type="paragraph" w:styleId="Lista">
    <w:name w:val="List"/>
    <w:basedOn w:val="Textoindependiente"/>
    <w:rsid w:val="00083678"/>
    <w:rPr>
      <w:rFonts w:cs="Tahoma"/>
    </w:rPr>
  </w:style>
  <w:style w:type="paragraph" w:customStyle="1" w:styleId="Etiqueta">
    <w:name w:val="Etiqueta"/>
    <w:basedOn w:val="Normal"/>
    <w:rsid w:val="00083678"/>
    <w:pPr>
      <w:suppressLineNumbers/>
      <w:spacing w:before="120" w:after="120"/>
    </w:pPr>
    <w:rPr>
      <w:rFonts w:cs="Tahoma"/>
      <w:i/>
      <w:iCs/>
    </w:rPr>
  </w:style>
  <w:style w:type="paragraph" w:customStyle="1" w:styleId="ndice">
    <w:name w:val="Índice"/>
    <w:basedOn w:val="Normal"/>
    <w:rsid w:val="00083678"/>
    <w:pPr>
      <w:suppressLineNumbers/>
    </w:pPr>
    <w:rPr>
      <w:rFonts w:cs="Tahoma"/>
    </w:rPr>
  </w:style>
  <w:style w:type="paragraph" w:customStyle="1" w:styleId="Encabezado1">
    <w:name w:val="Encabezado1"/>
    <w:basedOn w:val="Normal"/>
    <w:next w:val="Textoindependiente"/>
    <w:rsid w:val="00083678"/>
    <w:pPr>
      <w:keepNext/>
      <w:spacing w:before="240" w:after="120"/>
    </w:pPr>
    <w:rPr>
      <w:rFonts w:ascii="Arial" w:hAnsi="Arial" w:cs="Tahoma"/>
      <w:sz w:val="28"/>
      <w:szCs w:val="28"/>
    </w:rPr>
  </w:style>
  <w:style w:type="paragraph" w:styleId="NormalWeb">
    <w:name w:val="Normal (Web)"/>
    <w:basedOn w:val="Normal"/>
    <w:rsid w:val="00083678"/>
    <w:pPr>
      <w:spacing w:before="100" w:after="100"/>
    </w:pPr>
  </w:style>
  <w:style w:type="paragraph" w:styleId="Ttulo">
    <w:name w:val="Title"/>
    <w:basedOn w:val="Normal"/>
    <w:next w:val="Subttulo"/>
    <w:qFormat/>
    <w:rsid w:val="00083678"/>
    <w:pPr>
      <w:tabs>
        <w:tab w:val="center" w:pos="4680"/>
      </w:tabs>
      <w:jc w:val="center"/>
    </w:pPr>
    <w:rPr>
      <w:b/>
      <w:spacing w:val="-3"/>
      <w:u w:val="single"/>
    </w:rPr>
  </w:style>
  <w:style w:type="paragraph" w:styleId="Subttulo">
    <w:name w:val="Subtitle"/>
    <w:basedOn w:val="Encabezado1"/>
    <w:next w:val="Textoindependiente"/>
    <w:qFormat/>
    <w:rsid w:val="00083678"/>
    <w:pPr>
      <w:jc w:val="center"/>
    </w:pPr>
    <w:rPr>
      <w:i/>
      <w:iCs/>
    </w:rPr>
  </w:style>
  <w:style w:type="paragraph" w:styleId="Encabezado">
    <w:name w:val="header"/>
    <w:basedOn w:val="Normal"/>
    <w:rsid w:val="00083678"/>
    <w:pPr>
      <w:suppressLineNumbers/>
      <w:tabs>
        <w:tab w:val="center" w:pos="4986"/>
        <w:tab w:val="right" w:pos="9972"/>
      </w:tabs>
    </w:pPr>
  </w:style>
  <w:style w:type="paragraph" w:customStyle="1" w:styleId="Contenidodelmarco">
    <w:name w:val="Contenido del marco"/>
    <w:basedOn w:val="Textoindependiente"/>
    <w:rsid w:val="00083678"/>
  </w:style>
  <w:style w:type="paragraph" w:customStyle="1" w:styleId="Car">
    <w:name w:val="Car"/>
    <w:basedOn w:val="Normal"/>
    <w:rsid w:val="00083678"/>
    <w:pPr>
      <w:widowControl/>
      <w:suppressAutoHyphens w:val="0"/>
      <w:spacing w:after="160" w:line="240" w:lineRule="exact"/>
    </w:pPr>
    <w:rPr>
      <w:rFonts w:ascii="Verdana" w:eastAsia="Times New Roman" w:hAnsi="Verdana"/>
      <w:sz w:val="20"/>
      <w:szCs w:val="21"/>
      <w:lang w:val="en-AU"/>
    </w:rPr>
  </w:style>
  <w:style w:type="paragraph" w:customStyle="1" w:styleId="Contenidodelatabla">
    <w:name w:val="Contenido de la tabla"/>
    <w:basedOn w:val="Normal"/>
    <w:rsid w:val="00083678"/>
    <w:pPr>
      <w:suppressLineNumbers/>
    </w:pPr>
  </w:style>
  <w:style w:type="paragraph" w:customStyle="1" w:styleId="Encabezadodelatabla">
    <w:name w:val="Encabezado de la tabla"/>
    <w:basedOn w:val="Contenidodelatabla"/>
    <w:rsid w:val="00083678"/>
    <w:pPr>
      <w:jc w:val="center"/>
    </w:pPr>
    <w:rPr>
      <w:b/>
      <w:bCs/>
    </w:rPr>
  </w:style>
  <w:style w:type="paragraph" w:styleId="Textodeglobo">
    <w:name w:val="Balloon Text"/>
    <w:basedOn w:val="Normal"/>
    <w:semiHidden/>
    <w:rsid w:val="00850BDA"/>
    <w:rPr>
      <w:rFonts w:ascii="Tahoma" w:hAnsi="Tahoma" w:cs="Tahoma"/>
      <w:sz w:val="16"/>
      <w:szCs w:val="16"/>
    </w:rPr>
  </w:style>
  <w:style w:type="paragraph" w:customStyle="1" w:styleId="bodytext2">
    <w:name w:val="bodytext2"/>
    <w:basedOn w:val="Normal"/>
    <w:rsid w:val="00796D94"/>
    <w:pPr>
      <w:widowControl/>
      <w:suppressAutoHyphens w:val="0"/>
      <w:jc w:val="both"/>
    </w:pPr>
    <w:rPr>
      <w:rFonts w:ascii="Arial" w:eastAsia="Times New Roman" w:hAnsi="Arial" w:cs="Arial"/>
      <w:b/>
      <w:bCs/>
      <w:kern w:val="0"/>
      <w:u w:val="single"/>
      <w:lang w:val="es-ES" w:eastAsia="es-ES"/>
    </w:rPr>
  </w:style>
  <w:style w:type="paragraph" w:customStyle="1" w:styleId="CharChar">
    <w:name w:val="Char Char"/>
    <w:basedOn w:val="Normal"/>
    <w:semiHidden/>
    <w:rsid w:val="00796D94"/>
    <w:pPr>
      <w:widowControl/>
      <w:suppressAutoHyphens w:val="0"/>
      <w:spacing w:after="160" w:line="240" w:lineRule="exact"/>
    </w:pPr>
    <w:rPr>
      <w:rFonts w:ascii="Verdana" w:eastAsia="Times New Roman" w:hAnsi="Verdana" w:cs="Verdana"/>
      <w:kern w:val="0"/>
      <w:sz w:val="20"/>
      <w:szCs w:val="20"/>
      <w:lang w:val="en-AU" w:eastAsia="en-US"/>
    </w:rPr>
  </w:style>
  <w:style w:type="paragraph" w:styleId="Piedepgina">
    <w:name w:val="footer"/>
    <w:basedOn w:val="Normal"/>
    <w:rsid w:val="0007249A"/>
    <w:pPr>
      <w:tabs>
        <w:tab w:val="center" w:pos="4252"/>
        <w:tab w:val="right" w:pos="8504"/>
      </w:tabs>
    </w:pPr>
  </w:style>
  <w:style w:type="paragraph" w:customStyle="1" w:styleId="3">
    <w:name w:val="3"/>
    <w:basedOn w:val="Normal"/>
    <w:semiHidden/>
    <w:rsid w:val="00005DBB"/>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style3">
    <w:name w:val="style3"/>
    <w:basedOn w:val="Normal"/>
    <w:rsid w:val="009E413D"/>
    <w:pPr>
      <w:widowControl/>
      <w:suppressAutoHyphens w:val="0"/>
      <w:spacing w:before="280" w:after="280"/>
    </w:pPr>
    <w:rPr>
      <w:rFonts w:eastAsia="Times New Roman"/>
      <w:b/>
      <w:bCs/>
      <w:color w:val="000000"/>
      <w:kern w:val="0"/>
      <w:lang w:val="es-ES" w:eastAsia="es-ES"/>
    </w:rPr>
  </w:style>
  <w:style w:type="paragraph" w:customStyle="1" w:styleId="Car0">
    <w:name w:val="Car"/>
    <w:basedOn w:val="Normal"/>
    <w:semiHidden/>
    <w:rsid w:val="00372F0E"/>
    <w:pPr>
      <w:widowControl/>
      <w:suppressAutoHyphens w:val="0"/>
      <w:spacing w:after="160" w:line="240" w:lineRule="exact"/>
    </w:pPr>
    <w:rPr>
      <w:rFonts w:ascii="Verdana" w:eastAsia="Times New Roman" w:hAnsi="Verdana"/>
      <w:kern w:val="0"/>
      <w:sz w:val="20"/>
      <w:szCs w:val="21"/>
      <w:lang w:val="en-AU" w:eastAsia="en-US"/>
    </w:rPr>
  </w:style>
  <w:style w:type="paragraph" w:styleId="Sangradetextonormal">
    <w:name w:val="Body Text Indent"/>
    <w:basedOn w:val="Normal"/>
    <w:rsid w:val="007A32F0"/>
    <w:pPr>
      <w:spacing w:after="120"/>
      <w:ind w:left="283"/>
    </w:pPr>
  </w:style>
  <w:style w:type="paragraph" w:styleId="Textoindependiente2">
    <w:name w:val="Body Text 2"/>
    <w:basedOn w:val="Normal"/>
    <w:rsid w:val="007A32F0"/>
    <w:pPr>
      <w:spacing w:after="120" w:line="480" w:lineRule="auto"/>
    </w:pPr>
  </w:style>
  <w:style w:type="paragraph" w:customStyle="1" w:styleId="Textoindependiente21">
    <w:name w:val="Texto independiente 21"/>
    <w:basedOn w:val="Normal"/>
    <w:rsid w:val="007A32F0"/>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eastAsia="Times New Roman"/>
      <w:spacing w:val="-3"/>
      <w:kern w:val="0"/>
      <w:szCs w:val="20"/>
      <w:lang w:eastAsia="es-ES"/>
    </w:rPr>
  </w:style>
  <w:style w:type="paragraph" w:styleId="Textonotapie">
    <w:name w:val="footnote text"/>
    <w:basedOn w:val="Normal"/>
    <w:rsid w:val="007A32F0"/>
    <w:pPr>
      <w:widowControl/>
      <w:suppressAutoHyphens w:val="0"/>
    </w:pPr>
    <w:rPr>
      <w:rFonts w:eastAsia="Times New Roman"/>
      <w:kern w:val="0"/>
      <w:sz w:val="20"/>
      <w:szCs w:val="20"/>
      <w:lang w:val="es-ES" w:eastAsia="es-ES"/>
    </w:rPr>
  </w:style>
  <w:style w:type="paragraph" w:customStyle="1" w:styleId="framecontents">
    <w:name w:val="framecontents"/>
    <w:basedOn w:val="Normal"/>
    <w:rsid w:val="007A32F0"/>
    <w:pPr>
      <w:widowControl/>
      <w:suppressAutoHyphens w:val="0"/>
      <w:overflowPunct w:val="0"/>
      <w:autoSpaceDE w:val="0"/>
      <w:autoSpaceDN w:val="0"/>
      <w:jc w:val="both"/>
    </w:pPr>
    <w:rPr>
      <w:rFonts w:ascii="Century Gothic" w:eastAsia="Times New Roman" w:hAnsi="Century Gothic"/>
      <w:kern w:val="0"/>
      <w:lang w:val="es-ES" w:eastAsia="es-ES"/>
    </w:rPr>
  </w:style>
  <w:style w:type="paragraph" w:customStyle="1" w:styleId="CharChar0">
    <w:name w:val="Char Char"/>
    <w:basedOn w:val="Normal"/>
    <w:semiHidden/>
    <w:rsid w:val="00654AAF"/>
    <w:pPr>
      <w:widowControl/>
      <w:suppressAutoHyphens w:val="0"/>
      <w:spacing w:after="160" w:line="240" w:lineRule="exact"/>
    </w:pPr>
    <w:rPr>
      <w:rFonts w:ascii="Verdana" w:eastAsia="Times New Roman" w:hAnsi="Verdana"/>
      <w:kern w:val="0"/>
      <w:sz w:val="20"/>
      <w:szCs w:val="21"/>
      <w:lang w:val="en-AU" w:eastAsia="en-US"/>
    </w:rPr>
  </w:style>
  <w:style w:type="paragraph" w:styleId="Textosinformato">
    <w:name w:val="Plain Text"/>
    <w:basedOn w:val="Normal"/>
    <w:link w:val="TextosinformatoCar"/>
    <w:uiPriority w:val="99"/>
    <w:unhideWhenUsed/>
    <w:rsid w:val="00F11405"/>
    <w:pPr>
      <w:widowControl/>
      <w:suppressAutoHyphens w:val="0"/>
      <w:spacing w:before="100" w:beforeAutospacing="1" w:after="100" w:afterAutospacing="1"/>
    </w:pPr>
    <w:rPr>
      <w:rFonts w:eastAsia="Times New Roman"/>
      <w:kern w:val="0"/>
      <w:lang w:val="es-CR"/>
    </w:rPr>
  </w:style>
  <w:style w:type="character" w:customStyle="1" w:styleId="TextosinformatoCar">
    <w:name w:val="Texto sin formato Car"/>
    <w:basedOn w:val="Fuentedeprrafopredeter"/>
    <w:link w:val="Textosinformato"/>
    <w:uiPriority w:val="99"/>
    <w:rsid w:val="00F11405"/>
    <w:rPr>
      <w:sz w:val="24"/>
      <w:szCs w:val="24"/>
    </w:rPr>
  </w:style>
  <w:style w:type="paragraph" w:styleId="Prrafodelista">
    <w:name w:val="List Paragraph"/>
    <w:basedOn w:val="Normal"/>
    <w:uiPriority w:val="34"/>
    <w:qFormat/>
    <w:rsid w:val="00BF18BF"/>
    <w:pPr>
      <w:ind w:left="720"/>
      <w:contextualSpacing/>
    </w:pPr>
  </w:style>
</w:styles>
</file>

<file path=word/webSettings.xml><?xml version="1.0" encoding="utf-8"?>
<w:webSettings xmlns:r="http://schemas.openxmlformats.org/officeDocument/2006/relationships" xmlns:w="http://schemas.openxmlformats.org/wordprocessingml/2006/main">
  <w:divs>
    <w:div w:id="95946664">
      <w:bodyDiv w:val="1"/>
      <w:marLeft w:val="0"/>
      <w:marRight w:val="0"/>
      <w:marTop w:val="0"/>
      <w:marBottom w:val="0"/>
      <w:divBdr>
        <w:top w:val="none" w:sz="0" w:space="0" w:color="auto"/>
        <w:left w:val="none" w:sz="0" w:space="0" w:color="auto"/>
        <w:bottom w:val="none" w:sz="0" w:space="0" w:color="auto"/>
        <w:right w:val="none" w:sz="0" w:space="0" w:color="auto"/>
      </w:divBdr>
    </w:div>
    <w:div w:id="169687984">
      <w:bodyDiv w:val="1"/>
      <w:marLeft w:val="0"/>
      <w:marRight w:val="0"/>
      <w:marTop w:val="0"/>
      <w:marBottom w:val="0"/>
      <w:divBdr>
        <w:top w:val="none" w:sz="0" w:space="0" w:color="auto"/>
        <w:left w:val="none" w:sz="0" w:space="0" w:color="auto"/>
        <w:bottom w:val="none" w:sz="0" w:space="0" w:color="auto"/>
        <w:right w:val="none" w:sz="0" w:space="0" w:color="auto"/>
      </w:divBdr>
    </w:div>
    <w:div w:id="197861836">
      <w:bodyDiv w:val="1"/>
      <w:marLeft w:val="0"/>
      <w:marRight w:val="0"/>
      <w:marTop w:val="0"/>
      <w:marBottom w:val="0"/>
      <w:divBdr>
        <w:top w:val="none" w:sz="0" w:space="0" w:color="auto"/>
        <w:left w:val="none" w:sz="0" w:space="0" w:color="auto"/>
        <w:bottom w:val="none" w:sz="0" w:space="0" w:color="auto"/>
        <w:right w:val="none" w:sz="0" w:space="0" w:color="auto"/>
      </w:divBdr>
    </w:div>
    <w:div w:id="384646688">
      <w:bodyDiv w:val="1"/>
      <w:marLeft w:val="0"/>
      <w:marRight w:val="0"/>
      <w:marTop w:val="0"/>
      <w:marBottom w:val="0"/>
      <w:divBdr>
        <w:top w:val="none" w:sz="0" w:space="0" w:color="auto"/>
        <w:left w:val="none" w:sz="0" w:space="0" w:color="auto"/>
        <w:bottom w:val="none" w:sz="0" w:space="0" w:color="auto"/>
        <w:right w:val="none" w:sz="0" w:space="0" w:color="auto"/>
      </w:divBdr>
    </w:div>
    <w:div w:id="429398842">
      <w:bodyDiv w:val="1"/>
      <w:marLeft w:val="0"/>
      <w:marRight w:val="0"/>
      <w:marTop w:val="0"/>
      <w:marBottom w:val="0"/>
      <w:divBdr>
        <w:top w:val="none" w:sz="0" w:space="0" w:color="auto"/>
        <w:left w:val="none" w:sz="0" w:space="0" w:color="auto"/>
        <w:bottom w:val="none" w:sz="0" w:space="0" w:color="auto"/>
        <w:right w:val="none" w:sz="0" w:space="0" w:color="auto"/>
      </w:divBdr>
    </w:div>
    <w:div w:id="445201185">
      <w:bodyDiv w:val="1"/>
      <w:marLeft w:val="0"/>
      <w:marRight w:val="0"/>
      <w:marTop w:val="0"/>
      <w:marBottom w:val="0"/>
      <w:divBdr>
        <w:top w:val="none" w:sz="0" w:space="0" w:color="auto"/>
        <w:left w:val="none" w:sz="0" w:space="0" w:color="auto"/>
        <w:bottom w:val="none" w:sz="0" w:space="0" w:color="auto"/>
        <w:right w:val="none" w:sz="0" w:space="0" w:color="auto"/>
      </w:divBdr>
    </w:div>
    <w:div w:id="611130625">
      <w:bodyDiv w:val="1"/>
      <w:marLeft w:val="0"/>
      <w:marRight w:val="0"/>
      <w:marTop w:val="0"/>
      <w:marBottom w:val="0"/>
      <w:divBdr>
        <w:top w:val="none" w:sz="0" w:space="0" w:color="auto"/>
        <w:left w:val="none" w:sz="0" w:space="0" w:color="auto"/>
        <w:bottom w:val="none" w:sz="0" w:space="0" w:color="auto"/>
        <w:right w:val="none" w:sz="0" w:space="0" w:color="auto"/>
      </w:divBdr>
    </w:div>
    <w:div w:id="717438457">
      <w:bodyDiv w:val="1"/>
      <w:marLeft w:val="0"/>
      <w:marRight w:val="0"/>
      <w:marTop w:val="0"/>
      <w:marBottom w:val="0"/>
      <w:divBdr>
        <w:top w:val="none" w:sz="0" w:space="0" w:color="auto"/>
        <w:left w:val="none" w:sz="0" w:space="0" w:color="auto"/>
        <w:bottom w:val="none" w:sz="0" w:space="0" w:color="auto"/>
        <w:right w:val="none" w:sz="0" w:space="0" w:color="auto"/>
      </w:divBdr>
      <w:divsChild>
        <w:div w:id="759906433">
          <w:marLeft w:val="0"/>
          <w:marRight w:val="0"/>
          <w:marTop w:val="0"/>
          <w:marBottom w:val="0"/>
          <w:divBdr>
            <w:top w:val="none" w:sz="0" w:space="0" w:color="auto"/>
            <w:left w:val="none" w:sz="0" w:space="0" w:color="auto"/>
            <w:bottom w:val="none" w:sz="0" w:space="0" w:color="auto"/>
            <w:right w:val="none" w:sz="0" w:space="0" w:color="auto"/>
          </w:divBdr>
          <w:divsChild>
            <w:div w:id="107967777">
              <w:marLeft w:val="0"/>
              <w:marRight w:val="0"/>
              <w:marTop w:val="0"/>
              <w:marBottom w:val="0"/>
              <w:divBdr>
                <w:top w:val="none" w:sz="0" w:space="0" w:color="auto"/>
                <w:left w:val="none" w:sz="0" w:space="0" w:color="auto"/>
                <w:bottom w:val="none" w:sz="0" w:space="0" w:color="auto"/>
                <w:right w:val="none" w:sz="0" w:space="0" w:color="auto"/>
              </w:divBdr>
              <w:divsChild>
                <w:div w:id="4524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0628">
      <w:bodyDiv w:val="1"/>
      <w:marLeft w:val="0"/>
      <w:marRight w:val="0"/>
      <w:marTop w:val="0"/>
      <w:marBottom w:val="0"/>
      <w:divBdr>
        <w:top w:val="none" w:sz="0" w:space="0" w:color="auto"/>
        <w:left w:val="none" w:sz="0" w:space="0" w:color="auto"/>
        <w:bottom w:val="none" w:sz="0" w:space="0" w:color="auto"/>
        <w:right w:val="none" w:sz="0" w:space="0" w:color="auto"/>
      </w:divBdr>
    </w:div>
    <w:div w:id="763721278">
      <w:bodyDiv w:val="1"/>
      <w:marLeft w:val="0"/>
      <w:marRight w:val="0"/>
      <w:marTop w:val="0"/>
      <w:marBottom w:val="0"/>
      <w:divBdr>
        <w:top w:val="none" w:sz="0" w:space="0" w:color="auto"/>
        <w:left w:val="none" w:sz="0" w:space="0" w:color="auto"/>
        <w:bottom w:val="none" w:sz="0" w:space="0" w:color="auto"/>
        <w:right w:val="none" w:sz="0" w:space="0" w:color="auto"/>
      </w:divBdr>
    </w:div>
    <w:div w:id="908001465">
      <w:bodyDiv w:val="1"/>
      <w:marLeft w:val="0"/>
      <w:marRight w:val="0"/>
      <w:marTop w:val="0"/>
      <w:marBottom w:val="0"/>
      <w:divBdr>
        <w:top w:val="none" w:sz="0" w:space="0" w:color="auto"/>
        <w:left w:val="none" w:sz="0" w:space="0" w:color="auto"/>
        <w:bottom w:val="none" w:sz="0" w:space="0" w:color="auto"/>
        <w:right w:val="none" w:sz="0" w:space="0" w:color="auto"/>
      </w:divBdr>
    </w:div>
    <w:div w:id="1004013009">
      <w:bodyDiv w:val="1"/>
      <w:marLeft w:val="0"/>
      <w:marRight w:val="0"/>
      <w:marTop w:val="0"/>
      <w:marBottom w:val="0"/>
      <w:divBdr>
        <w:top w:val="none" w:sz="0" w:space="0" w:color="auto"/>
        <w:left w:val="none" w:sz="0" w:space="0" w:color="auto"/>
        <w:bottom w:val="none" w:sz="0" w:space="0" w:color="auto"/>
        <w:right w:val="none" w:sz="0" w:space="0" w:color="auto"/>
      </w:divBdr>
    </w:div>
    <w:div w:id="1142381523">
      <w:bodyDiv w:val="1"/>
      <w:marLeft w:val="0"/>
      <w:marRight w:val="0"/>
      <w:marTop w:val="0"/>
      <w:marBottom w:val="0"/>
      <w:divBdr>
        <w:top w:val="none" w:sz="0" w:space="0" w:color="auto"/>
        <w:left w:val="none" w:sz="0" w:space="0" w:color="auto"/>
        <w:bottom w:val="none" w:sz="0" w:space="0" w:color="auto"/>
        <w:right w:val="none" w:sz="0" w:space="0" w:color="auto"/>
      </w:divBdr>
    </w:div>
    <w:div w:id="1271476744">
      <w:bodyDiv w:val="1"/>
      <w:marLeft w:val="0"/>
      <w:marRight w:val="0"/>
      <w:marTop w:val="0"/>
      <w:marBottom w:val="0"/>
      <w:divBdr>
        <w:top w:val="none" w:sz="0" w:space="0" w:color="auto"/>
        <w:left w:val="none" w:sz="0" w:space="0" w:color="auto"/>
        <w:bottom w:val="none" w:sz="0" w:space="0" w:color="auto"/>
        <w:right w:val="none" w:sz="0" w:space="0" w:color="auto"/>
      </w:divBdr>
    </w:div>
    <w:div w:id="1317299520">
      <w:bodyDiv w:val="1"/>
      <w:marLeft w:val="0"/>
      <w:marRight w:val="0"/>
      <w:marTop w:val="0"/>
      <w:marBottom w:val="0"/>
      <w:divBdr>
        <w:top w:val="none" w:sz="0" w:space="0" w:color="auto"/>
        <w:left w:val="none" w:sz="0" w:space="0" w:color="auto"/>
        <w:bottom w:val="none" w:sz="0" w:space="0" w:color="auto"/>
        <w:right w:val="none" w:sz="0" w:space="0" w:color="auto"/>
      </w:divBdr>
    </w:div>
    <w:div w:id="1535536797">
      <w:bodyDiv w:val="1"/>
      <w:marLeft w:val="0"/>
      <w:marRight w:val="0"/>
      <w:marTop w:val="0"/>
      <w:marBottom w:val="0"/>
      <w:divBdr>
        <w:top w:val="none" w:sz="0" w:space="0" w:color="auto"/>
        <w:left w:val="none" w:sz="0" w:space="0" w:color="auto"/>
        <w:bottom w:val="none" w:sz="0" w:space="0" w:color="auto"/>
        <w:right w:val="none" w:sz="0" w:space="0" w:color="auto"/>
      </w:divBdr>
    </w:div>
    <w:div w:id="1619146918">
      <w:bodyDiv w:val="1"/>
      <w:marLeft w:val="0"/>
      <w:marRight w:val="0"/>
      <w:marTop w:val="0"/>
      <w:marBottom w:val="0"/>
      <w:divBdr>
        <w:top w:val="none" w:sz="0" w:space="0" w:color="auto"/>
        <w:left w:val="none" w:sz="0" w:space="0" w:color="auto"/>
        <w:bottom w:val="none" w:sz="0" w:space="0" w:color="auto"/>
        <w:right w:val="none" w:sz="0" w:space="0" w:color="auto"/>
      </w:divBdr>
    </w:div>
    <w:div w:id="1625424769">
      <w:bodyDiv w:val="1"/>
      <w:marLeft w:val="0"/>
      <w:marRight w:val="0"/>
      <w:marTop w:val="0"/>
      <w:marBottom w:val="0"/>
      <w:divBdr>
        <w:top w:val="none" w:sz="0" w:space="0" w:color="auto"/>
        <w:left w:val="none" w:sz="0" w:space="0" w:color="auto"/>
        <w:bottom w:val="none" w:sz="0" w:space="0" w:color="auto"/>
        <w:right w:val="none" w:sz="0" w:space="0" w:color="auto"/>
      </w:divBdr>
    </w:div>
    <w:div w:id="1707021111">
      <w:bodyDiv w:val="1"/>
      <w:marLeft w:val="0"/>
      <w:marRight w:val="0"/>
      <w:marTop w:val="0"/>
      <w:marBottom w:val="0"/>
      <w:divBdr>
        <w:top w:val="none" w:sz="0" w:space="0" w:color="auto"/>
        <w:left w:val="none" w:sz="0" w:space="0" w:color="auto"/>
        <w:bottom w:val="none" w:sz="0" w:space="0" w:color="auto"/>
        <w:right w:val="none" w:sz="0" w:space="0" w:color="auto"/>
      </w:divBdr>
    </w:div>
    <w:div w:id="1756583474">
      <w:bodyDiv w:val="1"/>
      <w:marLeft w:val="0"/>
      <w:marRight w:val="0"/>
      <w:marTop w:val="0"/>
      <w:marBottom w:val="0"/>
      <w:divBdr>
        <w:top w:val="none" w:sz="0" w:space="0" w:color="auto"/>
        <w:left w:val="none" w:sz="0" w:space="0" w:color="auto"/>
        <w:bottom w:val="none" w:sz="0" w:space="0" w:color="auto"/>
        <w:right w:val="none" w:sz="0" w:space="0" w:color="auto"/>
      </w:divBdr>
    </w:div>
    <w:div w:id="1836871898">
      <w:bodyDiv w:val="1"/>
      <w:marLeft w:val="0"/>
      <w:marRight w:val="0"/>
      <w:marTop w:val="0"/>
      <w:marBottom w:val="0"/>
      <w:divBdr>
        <w:top w:val="none" w:sz="0" w:space="0" w:color="auto"/>
        <w:left w:val="none" w:sz="0" w:space="0" w:color="auto"/>
        <w:bottom w:val="none" w:sz="0" w:space="0" w:color="auto"/>
        <w:right w:val="none" w:sz="0" w:space="0" w:color="auto"/>
      </w:divBdr>
    </w:div>
    <w:div w:id="1986083064">
      <w:bodyDiv w:val="1"/>
      <w:marLeft w:val="0"/>
      <w:marRight w:val="0"/>
      <w:marTop w:val="0"/>
      <w:marBottom w:val="0"/>
      <w:divBdr>
        <w:top w:val="none" w:sz="0" w:space="0" w:color="auto"/>
        <w:left w:val="none" w:sz="0" w:space="0" w:color="auto"/>
        <w:bottom w:val="none" w:sz="0" w:space="0" w:color="auto"/>
        <w:right w:val="none" w:sz="0" w:space="0" w:color="auto"/>
      </w:divBdr>
    </w:div>
    <w:div w:id="2060857312">
      <w:bodyDiv w:val="1"/>
      <w:marLeft w:val="0"/>
      <w:marRight w:val="0"/>
      <w:marTop w:val="0"/>
      <w:marBottom w:val="0"/>
      <w:divBdr>
        <w:top w:val="none" w:sz="0" w:space="0" w:color="auto"/>
        <w:left w:val="none" w:sz="0" w:space="0" w:color="auto"/>
        <w:bottom w:val="none" w:sz="0" w:space="0" w:color="auto"/>
        <w:right w:val="none" w:sz="0" w:space="0" w:color="auto"/>
      </w:divBdr>
    </w:div>
    <w:div w:id="21042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1732</Words>
  <Characters>9526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AVISO N° 27-2009</vt:lpstr>
    </vt:vector>
  </TitlesOfParts>
  <Company>Poder Judicial</Company>
  <LinksUpToDate>false</LinksUpToDate>
  <CharactersWithSpaces>11236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 27-2009</dc:title>
  <dc:creator>usuario1</dc:creator>
  <cp:lastModifiedBy>ljimenezz</cp:lastModifiedBy>
  <cp:revision>2</cp:revision>
  <cp:lastPrinted>2013-02-08T15:17:00Z</cp:lastPrinted>
  <dcterms:created xsi:type="dcterms:W3CDTF">2020-11-19T15:55:00Z</dcterms:created>
  <dcterms:modified xsi:type="dcterms:W3CDTF">2020-11-19T15:55:00Z</dcterms:modified>
</cp:coreProperties>
</file>