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E10B70" w:rsidRPr="004E464B" w:rsidRDefault="00E10B70" w:rsidP="00E10B70">
      <w:pPr>
        <w:ind w:firstLine="567"/>
        <w:jc w:val="center"/>
        <w:rPr>
          <w:b/>
          <w:bCs/>
          <w:color w:val="000000"/>
          <w:sz w:val="25"/>
          <w:szCs w:val="25"/>
          <w:u w:val="single"/>
          <w:lang w:val="es-ES_tradnl" w:eastAsia="ar-SA"/>
        </w:rPr>
      </w:pPr>
      <w:r w:rsidRPr="004E464B">
        <w:rPr>
          <w:b/>
          <w:bCs/>
          <w:color w:val="000000"/>
          <w:sz w:val="25"/>
          <w:szCs w:val="25"/>
          <w:u w:val="single"/>
          <w:lang w:val="es-ES_tradnl" w:eastAsia="ar-SA"/>
        </w:rPr>
        <w:t>“</w:t>
      </w:r>
      <w:r w:rsidRPr="004E464B">
        <w:rPr>
          <w:b/>
          <w:bCs/>
          <w:color w:val="000000"/>
          <w:sz w:val="25"/>
          <w:szCs w:val="25"/>
          <w:u w:val="single"/>
        </w:rPr>
        <w:t>CIRCULAR</w:t>
      </w:r>
      <w:r w:rsidRPr="004E464B">
        <w:rPr>
          <w:b/>
          <w:bCs/>
          <w:color w:val="000000"/>
          <w:sz w:val="25"/>
          <w:szCs w:val="25"/>
          <w:u w:val="single"/>
          <w:lang w:val="es-ES_tradnl" w:eastAsia="ar-SA"/>
        </w:rPr>
        <w:t xml:space="preserve"> No. </w:t>
      </w:r>
      <w:bookmarkStart w:id="0" w:name="_GoBack"/>
      <w:r w:rsidRPr="004E464B">
        <w:rPr>
          <w:b/>
          <w:bCs/>
          <w:color w:val="000000"/>
          <w:sz w:val="25"/>
          <w:szCs w:val="25"/>
          <w:u w:val="single"/>
          <w:lang w:val="es-ES_tradnl" w:eastAsia="ar-SA"/>
        </w:rPr>
        <w:t>76 -2019</w:t>
      </w:r>
      <w:bookmarkEnd w:id="0"/>
    </w:p>
    <w:p w:rsidR="00E10B70" w:rsidRPr="004E464B" w:rsidRDefault="00E10B70" w:rsidP="00E10B70">
      <w:pPr>
        <w:ind w:firstLine="567"/>
        <w:jc w:val="center"/>
        <w:rPr>
          <w:rFonts w:eastAsia="Calibri"/>
          <w:sz w:val="25"/>
          <w:szCs w:val="25"/>
          <w:lang w:val="es-ES_tradnl"/>
        </w:rPr>
      </w:pPr>
    </w:p>
    <w:p w:rsidR="00E10B70" w:rsidRPr="004E464B" w:rsidRDefault="00E10B70" w:rsidP="00E10B70">
      <w:pPr>
        <w:ind w:left="3970" w:hanging="993"/>
        <w:jc w:val="both"/>
        <w:rPr>
          <w:rFonts w:eastAsia="Calibri"/>
          <w:sz w:val="25"/>
          <w:szCs w:val="25"/>
          <w:lang w:val="es-ES_tradnl"/>
        </w:rPr>
      </w:pPr>
      <w:r w:rsidRPr="004E464B">
        <w:rPr>
          <w:b/>
          <w:bCs/>
          <w:sz w:val="25"/>
          <w:szCs w:val="25"/>
          <w:u w:val="single"/>
        </w:rPr>
        <w:t>Asunto</w:t>
      </w:r>
      <w:r w:rsidRPr="004E464B">
        <w:rPr>
          <w:rFonts w:eastAsia="Calibri"/>
          <w:b/>
          <w:sz w:val="25"/>
          <w:szCs w:val="25"/>
          <w:lang w:val="es-ES_tradnl"/>
        </w:rPr>
        <w:t>:</w:t>
      </w:r>
      <w:r w:rsidRPr="004E464B">
        <w:rPr>
          <w:rFonts w:eastAsia="Calibri"/>
          <w:sz w:val="25"/>
          <w:szCs w:val="25"/>
          <w:lang w:val="es-ES_tradnl"/>
        </w:rPr>
        <w:t xml:space="preserve"> Importancia de conocer, estudiar y aplicar los convenios e instrumentos internacionales relacionados con los derechos humanos de las personas en condición de vulnerabilidad.   </w:t>
      </w:r>
    </w:p>
    <w:p w:rsidR="00E10B70" w:rsidRPr="004E464B" w:rsidRDefault="00E10B70" w:rsidP="00E10B70">
      <w:pPr>
        <w:ind w:left="3686"/>
        <w:jc w:val="center"/>
        <w:rPr>
          <w:rFonts w:eastAsia="Calibri"/>
          <w:b/>
          <w:bCs/>
          <w:sz w:val="25"/>
          <w:szCs w:val="25"/>
          <w:lang w:val="es-ES_tradnl"/>
        </w:rPr>
      </w:pPr>
    </w:p>
    <w:p w:rsidR="00E10B70" w:rsidRPr="004E464B" w:rsidRDefault="00E10B70" w:rsidP="00E10B70">
      <w:pPr>
        <w:ind w:left="3686"/>
        <w:jc w:val="center"/>
        <w:rPr>
          <w:rFonts w:eastAsia="Calibri"/>
          <w:b/>
          <w:bCs/>
          <w:sz w:val="25"/>
          <w:szCs w:val="25"/>
          <w:lang w:val="es-ES_tradnl"/>
        </w:rPr>
      </w:pPr>
    </w:p>
    <w:p w:rsidR="00E10B70" w:rsidRPr="004E464B" w:rsidRDefault="00E10B70" w:rsidP="00E10B70">
      <w:pPr>
        <w:spacing w:line="480" w:lineRule="auto"/>
        <w:ind w:firstLine="567"/>
        <w:jc w:val="center"/>
        <w:rPr>
          <w:b/>
          <w:bCs/>
          <w:sz w:val="25"/>
          <w:szCs w:val="25"/>
          <w:u w:val="single"/>
          <w:lang w:val="es-ES_tradnl" w:eastAsia="ar-SA"/>
        </w:rPr>
      </w:pPr>
      <w:r w:rsidRPr="004E464B">
        <w:rPr>
          <w:b/>
          <w:bCs/>
          <w:sz w:val="25"/>
          <w:szCs w:val="25"/>
          <w:u w:val="single"/>
          <w:lang w:val="es-ES_tradnl" w:eastAsia="ar-SA"/>
        </w:rPr>
        <w:t>A TODOS LOS DESPACHOS JUDICIALES</w:t>
      </w:r>
    </w:p>
    <w:p w:rsidR="00E10B70" w:rsidRPr="004E464B" w:rsidRDefault="00E10B70" w:rsidP="00E10B70">
      <w:pPr>
        <w:spacing w:line="480" w:lineRule="auto"/>
        <w:ind w:firstLine="567"/>
        <w:jc w:val="center"/>
        <w:rPr>
          <w:b/>
          <w:bCs/>
          <w:sz w:val="25"/>
          <w:szCs w:val="25"/>
          <w:u w:val="single"/>
          <w:lang w:val="es-ES_tradnl" w:eastAsia="ar-SA"/>
        </w:rPr>
      </w:pPr>
      <w:r w:rsidRPr="004E464B">
        <w:rPr>
          <w:b/>
          <w:bCs/>
          <w:sz w:val="25"/>
          <w:szCs w:val="25"/>
          <w:u w:val="single"/>
          <w:lang w:val="es-ES_tradnl" w:eastAsia="ar-SA"/>
        </w:rPr>
        <w:t xml:space="preserve">SE LES HACE SABER QUE_: </w:t>
      </w:r>
    </w:p>
    <w:p w:rsidR="00E10B70" w:rsidRPr="004E464B" w:rsidRDefault="00E10B70" w:rsidP="00E10B70">
      <w:pPr>
        <w:spacing w:line="360" w:lineRule="auto"/>
        <w:ind w:firstLine="709"/>
        <w:contextualSpacing/>
        <w:jc w:val="both"/>
        <w:rPr>
          <w:sz w:val="25"/>
          <w:szCs w:val="25"/>
          <w:lang w:val="es-ES_tradnl"/>
        </w:rPr>
      </w:pPr>
      <w:r w:rsidRPr="004E464B">
        <w:rPr>
          <w:sz w:val="25"/>
          <w:szCs w:val="25"/>
          <w:lang w:val="es-ES_tradnl"/>
        </w:rPr>
        <w:t>El Consejo Superior del Poder Judicial en sesión No. 40-19 celebrada el 7 de mayo de 2019, artículo XLI, dispuso reiterar la importancia de conocer, estudiar y aplicar los convenios internacionales relacionados con los derechos humanos de las personas en condición de vulnerabilidad, considerando para ello el artículo 1 de la Constitución Política que señala que “Costa Rica es una República democrática, libre, independiente, multiétnica y pluricultural.”:</w:t>
      </w:r>
    </w:p>
    <w:tbl>
      <w:tblPr>
        <w:tblW w:w="10846" w:type="dxa"/>
        <w:tblCellMar>
          <w:left w:w="0" w:type="dxa"/>
          <w:right w:w="0" w:type="dxa"/>
        </w:tblCellMar>
        <w:tblLook w:val="04A0"/>
      </w:tblPr>
      <w:tblGrid>
        <w:gridCol w:w="10846"/>
      </w:tblGrid>
      <w:tr w:rsidR="00E10B70" w:rsidRPr="004E464B" w:rsidTr="003D3922">
        <w:tc>
          <w:tcPr>
            <w:tcW w:w="10846" w:type="dxa"/>
            <w:shd w:val="clear" w:color="auto" w:fill="auto"/>
            <w:vAlign w:val="center"/>
          </w:tcPr>
          <w:p w:rsidR="00E10B70" w:rsidRPr="004E464B" w:rsidRDefault="00E10B70" w:rsidP="003D3922">
            <w:pPr>
              <w:spacing w:line="360" w:lineRule="auto"/>
              <w:ind w:firstLine="709"/>
              <w:contextualSpacing/>
              <w:jc w:val="both"/>
              <w:rPr>
                <w:i/>
                <w:sz w:val="25"/>
                <w:szCs w:val="25"/>
                <w:lang w:val="es-ES_tradnl"/>
              </w:rPr>
            </w:pPr>
            <w:r w:rsidRPr="004E464B">
              <w:rPr>
                <w:b/>
                <w:i/>
                <w:sz w:val="25"/>
                <w:szCs w:val="25"/>
                <w:u w:val="single"/>
                <w:lang w:val="es-ES_tradnl"/>
              </w:rPr>
              <w:t>1.- Instrumentos Internacionales sobre Personas Adultas Mayores.</w:t>
            </w:r>
          </w:p>
        </w:tc>
      </w:tr>
    </w:tbl>
    <w:p w:rsidR="00E10B70" w:rsidRPr="004E464B" w:rsidRDefault="00E10B70" w:rsidP="00E10B70">
      <w:pPr>
        <w:spacing w:line="360" w:lineRule="auto"/>
        <w:ind w:firstLine="709"/>
        <w:contextualSpacing/>
        <w:jc w:val="both"/>
        <w:rPr>
          <w:rFonts w:eastAsia="Calibri"/>
          <w:bCs/>
          <w:i/>
          <w:sz w:val="25"/>
          <w:szCs w:val="25"/>
          <w:lang w:val="es-ES_tradnl" w:eastAsia="ar-SA"/>
        </w:rPr>
      </w:pPr>
      <w:bookmarkStart w:id="1" w:name="up"/>
      <w:bookmarkEnd w:id="1"/>
      <w:r w:rsidRPr="004E464B">
        <w:rPr>
          <w:rFonts w:eastAsia="Calibri"/>
          <w:bCs/>
          <w:i/>
          <w:sz w:val="25"/>
          <w:szCs w:val="25"/>
          <w:lang w:val="es-ES_tradnl" w:eastAsia="ar-SA"/>
        </w:rPr>
        <w:t>Convención Interamericana sobre la protección de los derechos humanos de las personas mayores</w:t>
      </w:r>
    </w:p>
    <w:p w:rsidR="00E10B70" w:rsidRPr="004E464B" w:rsidRDefault="00E10B70" w:rsidP="00E10B70">
      <w:pPr>
        <w:spacing w:line="360" w:lineRule="auto"/>
        <w:ind w:firstLine="709"/>
        <w:contextualSpacing/>
        <w:jc w:val="both"/>
        <w:rPr>
          <w:i/>
          <w:sz w:val="25"/>
          <w:szCs w:val="25"/>
          <w:lang w:val="es-ES_tradnl" w:eastAsia="ar-SA"/>
        </w:rPr>
      </w:pPr>
      <w:r w:rsidRPr="004E464B">
        <w:rPr>
          <w:rFonts w:eastAsia="Calibri"/>
          <w:b/>
          <w:bCs/>
          <w:i/>
          <w:sz w:val="25"/>
          <w:szCs w:val="25"/>
          <w:u w:val="single"/>
          <w:lang w:val="es-ES_tradnl" w:eastAsia="ar-SA"/>
        </w:rPr>
        <w:t xml:space="preserve">2.- Instrumentos Internacionales para Personas con Discapacidad. </w:t>
      </w:r>
    </w:p>
    <w:p w:rsidR="00E10B70" w:rsidRPr="004E464B" w:rsidRDefault="00E10B70" w:rsidP="00E10B70">
      <w:pPr>
        <w:autoSpaceDE w:val="0"/>
        <w:autoSpaceDN w:val="0"/>
        <w:adjustRightInd w:val="0"/>
        <w:spacing w:line="360" w:lineRule="auto"/>
        <w:ind w:firstLine="709"/>
        <w:jc w:val="both"/>
        <w:rPr>
          <w:i/>
          <w:sz w:val="25"/>
          <w:szCs w:val="25"/>
          <w:lang w:val="es-ES_tradnl"/>
        </w:rPr>
      </w:pPr>
      <w:r w:rsidRPr="004E464B">
        <w:rPr>
          <w:i/>
          <w:sz w:val="25"/>
          <w:szCs w:val="25"/>
          <w:lang w:val="es-ES_tradnl"/>
        </w:rPr>
        <w:t xml:space="preserve">Convención sobre los Derechos de las Personas con Discapacidad. Naciones Unidas 2007 y su Protocolo Facultativo </w:t>
      </w:r>
    </w:p>
    <w:p w:rsidR="00E10B70" w:rsidRPr="004E464B" w:rsidRDefault="00E10B70" w:rsidP="00E10B70">
      <w:pPr>
        <w:autoSpaceDE w:val="0"/>
        <w:autoSpaceDN w:val="0"/>
        <w:adjustRightInd w:val="0"/>
        <w:spacing w:line="360" w:lineRule="auto"/>
        <w:ind w:firstLine="709"/>
        <w:jc w:val="both"/>
        <w:rPr>
          <w:i/>
          <w:sz w:val="25"/>
          <w:szCs w:val="25"/>
          <w:lang w:val="es-ES_tradnl"/>
        </w:rPr>
      </w:pPr>
      <w:r w:rsidRPr="004E464B">
        <w:rPr>
          <w:i/>
          <w:sz w:val="25"/>
          <w:szCs w:val="25"/>
          <w:lang w:val="es-ES_tradnl"/>
        </w:rPr>
        <w:t xml:space="preserve">Convención Interamericana para la eliminación de todas las formas de discriminación contra las Personas con Discapacidad </w:t>
      </w:r>
    </w:p>
    <w:p w:rsidR="00E10B70" w:rsidRPr="004E464B" w:rsidRDefault="00E10B70" w:rsidP="00E10B70">
      <w:pPr>
        <w:spacing w:line="360" w:lineRule="auto"/>
        <w:ind w:firstLine="709"/>
        <w:contextualSpacing/>
        <w:jc w:val="both"/>
        <w:rPr>
          <w:rFonts w:eastAsia="Calibri"/>
          <w:b/>
          <w:i/>
          <w:sz w:val="25"/>
          <w:szCs w:val="25"/>
          <w:highlight w:val="white"/>
          <w:u w:val="single"/>
          <w:lang w:val="es-ES_tradnl" w:eastAsia="ar-SA"/>
        </w:rPr>
      </w:pPr>
      <w:r w:rsidRPr="004E464B">
        <w:rPr>
          <w:rFonts w:eastAsia="Calibri"/>
          <w:b/>
          <w:i/>
          <w:sz w:val="25"/>
          <w:szCs w:val="25"/>
          <w:u w:val="single"/>
          <w:shd w:val="clear" w:color="auto" w:fill="FFFFFF"/>
          <w:lang w:val="es-ES_tradnl" w:eastAsia="ar-SA"/>
        </w:rPr>
        <w:t>3.- Instrumentos Internacionales para Personas Afrodescendientes.</w:t>
      </w:r>
    </w:p>
    <w:p w:rsidR="00E10B70" w:rsidRPr="004E464B" w:rsidRDefault="00E10B70" w:rsidP="00E10B70">
      <w:pPr>
        <w:spacing w:line="360" w:lineRule="auto"/>
        <w:ind w:firstLine="709"/>
        <w:jc w:val="both"/>
        <w:rPr>
          <w:bCs/>
          <w:i/>
          <w:kern w:val="2"/>
          <w:sz w:val="25"/>
          <w:szCs w:val="25"/>
          <w:lang w:val="es-ES_tradnl"/>
        </w:rPr>
      </w:pPr>
      <w:r w:rsidRPr="004E464B">
        <w:rPr>
          <w:bCs/>
          <w:i/>
          <w:kern w:val="2"/>
          <w:sz w:val="25"/>
          <w:szCs w:val="25"/>
          <w:lang w:val="es-ES_tradnl"/>
        </w:rPr>
        <w:t>Convención relativa a la Lucha contra las Discriminaciones en la Esfera de la Enseñanza 1960,</w:t>
      </w:r>
    </w:p>
    <w:p w:rsidR="00E10B70" w:rsidRPr="004E464B" w:rsidRDefault="00E10B70" w:rsidP="00E10B70">
      <w:pPr>
        <w:spacing w:line="360" w:lineRule="auto"/>
        <w:ind w:firstLine="709"/>
        <w:jc w:val="both"/>
        <w:rPr>
          <w:bCs/>
          <w:i/>
          <w:kern w:val="2"/>
          <w:sz w:val="25"/>
          <w:szCs w:val="25"/>
          <w:lang w:val="es-ES_tradnl"/>
        </w:rPr>
      </w:pPr>
      <w:r w:rsidRPr="004E464B">
        <w:rPr>
          <w:bCs/>
          <w:i/>
          <w:kern w:val="2"/>
          <w:sz w:val="25"/>
          <w:szCs w:val="25"/>
          <w:lang w:val="es-ES_tradnl"/>
        </w:rPr>
        <w:t>Convención Internacional sobre la Eliminación de la Discriminación Racial de todas las Formas de Discriminación Racial</w:t>
      </w:r>
    </w:p>
    <w:p w:rsidR="00E10B70" w:rsidRPr="004E464B" w:rsidRDefault="00E10B70" w:rsidP="00E10B70">
      <w:pPr>
        <w:spacing w:line="360" w:lineRule="auto"/>
        <w:ind w:firstLine="709"/>
        <w:jc w:val="both"/>
        <w:rPr>
          <w:bCs/>
          <w:i/>
          <w:kern w:val="2"/>
          <w:sz w:val="25"/>
          <w:szCs w:val="25"/>
          <w:lang w:val="es-ES_tradnl"/>
        </w:rPr>
      </w:pPr>
      <w:r w:rsidRPr="004E464B">
        <w:rPr>
          <w:bCs/>
          <w:i/>
          <w:kern w:val="2"/>
          <w:sz w:val="25"/>
          <w:szCs w:val="25"/>
          <w:lang w:val="es-ES_tradnl"/>
        </w:rPr>
        <w:t xml:space="preserve">Declaración final y Plan de Acción de la Tercera Conferencia Mundial contra el </w:t>
      </w:r>
      <w:r w:rsidRPr="004E464B">
        <w:rPr>
          <w:bCs/>
          <w:i/>
          <w:kern w:val="2"/>
          <w:sz w:val="25"/>
          <w:szCs w:val="25"/>
          <w:lang w:val="es-ES_tradnl"/>
        </w:rPr>
        <w:lastRenderedPageBreak/>
        <w:t>Racismo, la Discriminación Racial, la Xenofobia y las Formas Conexas de Intolerancia, celebrada en Durban, Sur África en el año 2001.</w:t>
      </w:r>
    </w:p>
    <w:p w:rsidR="00E10B70" w:rsidRPr="004E464B" w:rsidRDefault="00E10B70" w:rsidP="00E10B70">
      <w:pPr>
        <w:spacing w:line="360" w:lineRule="auto"/>
        <w:ind w:firstLine="709"/>
        <w:jc w:val="both"/>
        <w:rPr>
          <w:bCs/>
          <w:i/>
          <w:kern w:val="2"/>
          <w:sz w:val="25"/>
          <w:szCs w:val="25"/>
          <w:lang w:val="es-ES_tradnl"/>
        </w:rPr>
      </w:pPr>
      <w:r w:rsidRPr="004E464B">
        <w:rPr>
          <w:bCs/>
          <w:i/>
          <w:kern w:val="2"/>
          <w:sz w:val="25"/>
          <w:szCs w:val="25"/>
          <w:lang w:val="es-ES_tradnl"/>
        </w:rPr>
        <w:t>El 30 de diciembre del 2013, la Asamblea General de las Naciones Unidas establece la celebración del Decenio Internacional de los Afrodescendientes del 1 de enero Comisionado Presidencial para Asuntos de la Afrodescendencia 12 de 2015 al 31 de diciembre de 2024</w:t>
      </w:r>
    </w:p>
    <w:p w:rsidR="00E10B70" w:rsidRPr="004E464B" w:rsidRDefault="00E10B70" w:rsidP="00E10B70">
      <w:pPr>
        <w:spacing w:line="360" w:lineRule="auto"/>
        <w:ind w:firstLine="709"/>
        <w:jc w:val="both"/>
        <w:rPr>
          <w:rFonts w:eastAsia="Calibri"/>
          <w:b/>
          <w:i/>
          <w:sz w:val="25"/>
          <w:szCs w:val="25"/>
          <w:highlight w:val="white"/>
          <w:u w:val="single"/>
          <w:lang w:val="es-ES_tradnl" w:eastAsia="ar-SA"/>
        </w:rPr>
      </w:pPr>
      <w:r w:rsidRPr="004E464B">
        <w:rPr>
          <w:b/>
          <w:i/>
          <w:sz w:val="25"/>
          <w:szCs w:val="25"/>
          <w:u w:val="single"/>
          <w:lang w:val="es-ES_tradnl" w:eastAsia="ar-SA"/>
        </w:rPr>
        <w:t>4.-</w:t>
      </w:r>
      <w:r w:rsidRPr="004E464B">
        <w:rPr>
          <w:rFonts w:eastAsia="Calibri"/>
          <w:b/>
          <w:i/>
          <w:sz w:val="25"/>
          <w:szCs w:val="25"/>
          <w:u w:val="single"/>
          <w:shd w:val="clear" w:color="auto" w:fill="FFFFFF"/>
          <w:lang w:val="es-ES_tradnl" w:eastAsia="ar-SA"/>
        </w:rPr>
        <w:t>Instrumentos Internacionales para Personas Menores de Edad en conflicto con la Ley.</w:t>
      </w:r>
    </w:p>
    <w:p w:rsidR="00E10B70" w:rsidRPr="004E464B" w:rsidRDefault="00E10B70" w:rsidP="00E10B70">
      <w:pPr>
        <w:spacing w:line="360" w:lineRule="auto"/>
        <w:ind w:firstLine="709"/>
        <w:jc w:val="both"/>
        <w:rPr>
          <w:bCs/>
          <w:i/>
          <w:kern w:val="2"/>
          <w:sz w:val="25"/>
          <w:szCs w:val="25"/>
          <w:lang w:val="es-ES_tradnl"/>
        </w:rPr>
      </w:pPr>
      <w:r w:rsidRPr="004E464B">
        <w:rPr>
          <w:bCs/>
          <w:i/>
          <w:kern w:val="2"/>
          <w:sz w:val="25"/>
          <w:szCs w:val="25"/>
          <w:lang w:val="es-ES_tradnl"/>
        </w:rPr>
        <w:t>Declaración de los Derechos del Niño (a)</w:t>
      </w:r>
    </w:p>
    <w:p w:rsidR="00E10B70" w:rsidRPr="004E464B" w:rsidRDefault="00E10B70" w:rsidP="00E10B70">
      <w:pPr>
        <w:spacing w:line="360" w:lineRule="auto"/>
        <w:ind w:firstLine="709"/>
        <w:jc w:val="both"/>
        <w:rPr>
          <w:bCs/>
          <w:i/>
          <w:kern w:val="2"/>
          <w:sz w:val="25"/>
          <w:szCs w:val="25"/>
          <w:lang w:val="es-ES_tradnl"/>
        </w:rPr>
      </w:pPr>
      <w:r w:rsidRPr="004E464B">
        <w:rPr>
          <w:bCs/>
          <w:i/>
          <w:kern w:val="2"/>
          <w:sz w:val="25"/>
          <w:szCs w:val="25"/>
          <w:lang w:val="es-ES_tradnl"/>
        </w:rPr>
        <w:t>Convención sobre los derechos del Niño (a)</w:t>
      </w:r>
    </w:p>
    <w:p w:rsidR="00E10B70" w:rsidRPr="004E464B" w:rsidRDefault="00E10B70" w:rsidP="00E10B70">
      <w:pPr>
        <w:spacing w:line="360" w:lineRule="auto"/>
        <w:ind w:firstLine="709"/>
        <w:jc w:val="both"/>
        <w:rPr>
          <w:bCs/>
          <w:i/>
          <w:kern w:val="2"/>
          <w:sz w:val="25"/>
          <w:szCs w:val="25"/>
          <w:lang w:val="es-ES_tradnl"/>
        </w:rPr>
      </w:pPr>
      <w:r w:rsidRPr="004E464B">
        <w:rPr>
          <w:bCs/>
          <w:i/>
          <w:kern w:val="2"/>
          <w:sz w:val="25"/>
          <w:szCs w:val="25"/>
          <w:lang w:val="es-ES_tradnl"/>
        </w:rPr>
        <w:t>Observaciones del Comité de los Derechos del Niño (a)</w:t>
      </w:r>
    </w:p>
    <w:p w:rsidR="00E10B70" w:rsidRPr="004E464B" w:rsidRDefault="00E10B70" w:rsidP="00E10B70">
      <w:pPr>
        <w:spacing w:line="360" w:lineRule="auto"/>
        <w:ind w:firstLine="709"/>
        <w:contextualSpacing/>
        <w:jc w:val="both"/>
        <w:rPr>
          <w:rFonts w:eastAsia="Calibri"/>
          <w:i/>
          <w:sz w:val="25"/>
          <w:szCs w:val="25"/>
          <w:lang w:val="es-ES_tradnl" w:eastAsia="ar-SA"/>
        </w:rPr>
      </w:pPr>
      <w:r w:rsidRPr="004E464B">
        <w:rPr>
          <w:rFonts w:eastAsia="Calibri"/>
          <w:i/>
          <w:sz w:val="25"/>
          <w:szCs w:val="25"/>
          <w:lang w:val="es-ES_tradnl" w:eastAsia="ar-SA"/>
        </w:rPr>
        <w:t>Convención Iberoamericana de Derechos de los Jóvenes.</w:t>
      </w:r>
    </w:p>
    <w:p w:rsidR="00E10B70" w:rsidRPr="004E464B" w:rsidRDefault="00E10B70" w:rsidP="00E10B70">
      <w:pPr>
        <w:spacing w:line="360" w:lineRule="auto"/>
        <w:ind w:firstLine="709"/>
        <w:contextualSpacing/>
        <w:jc w:val="both"/>
        <w:rPr>
          <w:rFonts w:eastAsia="Calibri"/>
          <w:i/>
          <w:sz w:val="25"/>
          <w:szCs w:val="25"/>
          <w:lang w:val="es-ES_tradnl" w:eastAsia="ar-SA"/>
        </w:rPr>
      </w:pPr>
      <w:r w:rsidRPr="004E464B">
        <w:rPr>
          <w:bCs/>
          <w:i/>
          <w:kern w:val="2"/>
          <w:sz w:val="25"/>
          <w:szCs w:val="25"/>
          <w:lang w:val="es-ES_tradnl"/>
        </w:rPr>
        <w:t>Directrices de las Naciones Unidas para la prevención de la delincuencia juvenil “Directrices de Riad”</w:t>
      </w:r>
    </w:p>
    <w:p w:rsidR="00E10B70" w:rsidRPr="004E464B" w:rsidRDefault="00E10B70" w:rsidP="00E10B70">
      <w:pPr>
        <w:spacing w:line="360" w:lineRule="auto"/>
        <w:ind w:firstLine="709"/>
        <w:jc w:val="both"/>
        <w:rPr>
          <w:bCs/>
          <w:i/>
          <w:kern w:val="2"/>
          <w:sz w:val="25"/>
          <w:szCs w:val="25"/>
          <w:lang w:val="es-ES_tradnl"/>
        </w:rPr>
      </w:pPr>
      <w:r w:rsidRPr="004E464B">
        <w:rPr>
          <w:bCs/>
          <w:i/>
          <w:kern w:val="2"/>
          <w:sz w:val="25"/>
          <w:szCs w:val="25"/>
          <w:lang w:val="es-ES_tradnl"/>
        </w:rPr>
        <w:t>Directrices sobre la Justicia en Asuntos Concernientes a los Niños Víctimas y Testigos de Delitos</w:t>
      </w:r>
    </w:p>
    <w:p w:rsidR="00E10B70" w:rsidRPr="004E464B" w:rsidRDefault="00E10B70" w:rsidP="00E10B70">
      <w:pPr>
        <w:spacing w:line="360" w:lineRule="auto"/>
        <w:ind w:firstLine="709"/>
        <w:jc w:val="both"/>
        <w:rPr>
          <w:bCs/>
          <w:i/>
          <w:kern w:val="2"/>
          <w:sz w:val="25"/>
          <w:szCs w:val="25"/>
          <w:lang w:val="es-ES_tradnl"/>
        </w:rPr>
      </w:pPr>
      <w:r w:rsidRPr="004E464B">
        <w:rPr>
          <w:bCs/>
          <w:i/>
          <w:kern w:val="2"/>
          <w:sz w:val="25"/>
          <w:szCs w:val="25"/>
          <w:lang w:val="es-ES_tradnl"/>
        </w:rPr>
        <w:t>Reglas mínimas de las Naciones Unidas para la Administración de Justicia de menores “Reglas de Beijing”</w:t>
      </w:r>
    </w:p>
    <w:p w:rsidR="00E10B70" w:rsidRPr="004E464B" w:rsidRDefault="00E10B70" w:rsidP="00E10B70">
      <w:pPr>
        <w:spacing w:line="360" w:lineRule="auto"/>
        <w:ind w:firstLine="709"/>
        <w:jc w:val="both"/>
        <w:rPr>
          <w:bCs/>
          <w:i/>
          <w:kern w:val="2"/>
          <w:sz w:val="25"/>
          <w:szCs w:val="25"/>
          <w:lang w:val="es-ES_tradnl"/>
        </w:rPr>
      </w:pPr>
      <w:r w:rsidRPr="004E464B">
        <w:rPr>
          <w:bCs/>
          <w:i/>
          <w:kern w:val="2"/>
          <w:sz w:val="25"/>
          <w:szCs w:val="25"/>
          <w:lang w:val="es-ES_tradnl"/>
        </w:rPr>
        <w:t>Reglas de las Naciones Unidas para la protección de los menores privados de libertad (Reglas de la Habana)</w:t>
      </w:r>
    </w:p>
    <w:p w:rsidR="00E10B70" w:rsidRPr="004E464B" w:rsidRDefault="00E10B70" w:rsidP="00E10B70">
      <w:pPr>
        <w:spacing w:line="360" w:lineRule="auto"/>
        <w:ind w:firstLine="709"/>
        <w:jc w:val="both"/>
        <w:rPr>
          <w:bCs/>
          <w:i/>
          <w:kern w:val="2"/>
          <w:sz w:val="25"/>
          <w:szCs w:val="25"/>
          <w:lang w:val="es-ES_tradnl"/>
        </w:rPr>
      </w:pPr>
      <w:r w:rsidRPr="004E464B">
        <w:rPr>
          <w:bCs/>
          <w:i/>
          <w:kern w:val="2"/>
          <w:sz w:val="25"/>
          <w:szCs w:val="25"/>
          <w:lang w:val="es-ES_tradnl"/>
        </w:rPr>
        <w:t>Principios de París: principios y directrices sobre los niños asociados a fuerzas armadas o grupos armados</w:t>
      </w:r>
    </w:p>
    <w:p w:rsidR="00E10B70" w:rsidRPr="004E464B" w:rsidRDefault="00E10B70" w:rsidP="00E10B70">
      <w:pPr>
        <w:spacing w:line="360" w:lineRule="auto"/>
        <w:ind w:firstLine="709"/>
        <w:jc w:val="both"/>
        <w:rPr>
          <w:rFonts w:eastAsia="Helvetica Neue"/>
          <w:i/>
          <w:sz w:val="25"/>
          <w:szCs w:val="25"/>
          <w:lang w:val="es-ES_tradnl"/>
        </w:rPr>
      </w:pPr>
      <w:r w:rsidRPr="004E464B">
        <w:rPr>
          <w:rFonts w:eastAsia="Helvetica Neue"/>
          <w:bCs/>
          <w:i/>
          <w:sz w:val="25"/>
          <w:szCs w:val="25"/>
          <w:lang w:val="es-ES_tradnl"/>
        </w:rPr>
        <w:t>Reglas mínimas de las Naciones unidas sobre las medidas no privativas de libertad (Reglas de Tokio)</w:t>
      </w:r>
    </w:p>
    <w:p w:rsidR="00E10B70" w:rsidRPr="004E464B" w:rsidRDefault="00E10B70" w:rsidP="00E10B70">
      <w:pPr>
        <w:spacing w:line="360" w:lineRule="auto"/>
        <w:ind w:firstLine="709"/>
        <w:jc w:val="both"/>
        <w:rPr>
          <w:b/>
          <w:bCs/>
          <w:i/>
          <w:kern w:val="2"/>
          <w:sz w:val="25"/>
          <w:szCs w:val="25"/>
          <w:u w:val="single"/>
          <w:lang w:val="es-ES_tradnl"/>
        </w:rPr>
      </w:pPr>
      <w:r w:rsidRPr="004E464B">
        <w:rPr>
          <w:b/>
          <w:bCs/>
          <w:i/>
          <w:kern w:val="2"/>
          <w:sz w:val="25"/>
          <w:szCs w:val="25"/>
          <w:u w:val="single"/>
          <w:lang w:val="es-ES_tradnl"/>
        </w:rPr>
        <w:t>5.- Instrumentos Internacionales sobre Niñez y Adolescencia.</w:t>
      </w:r>
    </w:p>
    <w:p w:rsidR="00E10B70" w:rsidRPr="004E464B" w:rsidRDefault="00E10B70" w:rsidP="00E10B70">
      <w:pPr>
        <w:spacing w:line="360" w:lineRule="auto"/>
        <w:ind w:firstLine="709"/>
        <w:jc w:val="both"/>
        <w:rPr>
          <w:bCs/>
          <w:i/>
          <w:kern w:val="2"/>
          <w:sz w:val="25"/>
          <w:szCs w:val="25"/>
          <w:lang w:val="es-ES_tradnl"/>
        </w:rPr>
      </w:pPr>
      <w:r w:rsidRPr="004E464B">
        <w:rPr>
          <w:bCs/>
          <w:i/>
          <w:kern w:val="2"/>
          <w:sz w:val="25"/>
          <w:szCs w:val="25"/>
          <w:lang w:val="es-ES_tradnl"/>
        </w:rPr>
        <w:t>Declaración de los Derechos del Niño (a)</w:t>
      </w:r>
    </w:p>
    <w:p w:rsidR="00E10B70" w:rsidRPr="004E464B" w:rsidRDefault="00E10B70" w:rsidP="00E10B70">
      <w:pPr>
        <w:spacing w:line="360" w:lineRule="auto"/>
        <w:ind w:firstLine="709"/>
        <w:jc w:val="both"/>
        <w:rPr>
          <w:i/>
          <w:sz w:val="25"/>
          <w:szCs w:val="25"/>
          <w:highlight w:val="white"/>
          <w:lang w:val="es-ES_tradnl" w:eastAsia="ar-SA"/>
        </w:rPr>
      </w:pPr>
      <w:r w:rsidRPr="004E464B">
        <w:rPr>
          <w:i/>
          <w:sz w:val="25"/>
          <w:szCs w:val="25"/>
          <w:shd w:val="clear" w:color="auto" w:fill="FFFFFF"/>
          <w:lang w:val="es-ES_tradnl" w:eastAsia="ar-SA"/>
        </w:rPr>
        <w:t>Convención sobre los Derechos del Niño</w:t>
      </w:r>
    </w:p>
    <w:p w:rsidR="00E10B70" w:rsidRPr="004E464B" w:rsidRDefault="00E10B70" w:rsidP="00E10B70">
      <w:pPr>
        <w:spacing w:line="360" w:lineRule="auto"/>
        <w:ind w:firstLine="709"/>
        <w:jc w:val="both"/>
        <w:rPr>
          <w:i/>
          <w:sz w:val="25"/>
          <w:szCs w:val="25"/>
          <w:lang w:val="es-ES_tradnl" w:eastAsia="ar-SA"/>
        </w:rPr>
      </w:pPr>
      <w:r w:rsidRPr="004E464B">
        <w:rPr>
          <w:bCs/>
          <w:i/>
          <w:sz w:val="25"/>
          <w:szCs w:val="25"/>
          <w:shd w:val="clear" w:color="auto" w:fill="FFFFFF"/>
          <w:lang w:val="es-ES_tradnl" w:eastAsia="ar-SA"/>
        </w:rPr>
        <w:t>Convención Interamericana sobre Restitución Internacional de Menores</w:t>
      </w:r>
    </w:p>
    <w:p w:rsidR="00E10B70" w:rsidRPr="004E464B" w:rsidRDefault="00E10B70" w:rsidP="00E10B70">
      <w:pPr>
        <w:spacing w:line="360" w:lineRule="auto"/>
        <w:ind w:firstLine="709"/>
        <w:jc w:val="both"/>
        <w:rPr>
          <w:bCs/>
          <w:i/>
          <w:kern w:val="2"/>
          <w:sz w:val="25"/>
          <w:szCs w:val="25"/>
          <w:lang w:val="es-ES_tradnl"/>
        </w:rPr>
      </w:pPr>
      <w:r w:rsidRPr="004E464B">
        <w:rPr>
          <w:bCs/>
          <w:i/>
          <w:kern w:val="2"/>
          <w:sz w:val="25"/>
          <w:szCs w:val="25"/>
          <w:lang w:val="es-ES_tradnl"/>
        </w:rPr>
        <w:lastRenderedPageBreak/>
        <w:t>Observaciones del Comité de los Derechos del Niño (a)</w:t>
      </w:r>
    </w:p>
    <w:p w:rsidR="00E10B70" w:rsidRPr="004E464B" w:rsidRDefault="00E10B70" w:rsidP="00E10B70">
      <w:pPr>
        <w:spacing w:line="360" w:lineRule="auto"/>
        <w:ind w:firstLine="709"/>
        <w:contextualSpacing/>
        <w:jc w:val="both"/>
        <w:rPr>
          <w:rFonts w:eastAsia="Calibri"/>
          <w:i/>
          <w:sz w:val="25"/>
          <w:szCs w:val="25"/>
          <w:lang w:val="es-ES_tradnl" w:eastAsia="ar-SA"/>
        </w:rPr>
      </w:pPr>
      <w:r w:rsidRPr="004E464B">
        <w:rPr>
          <w:rFonts w:eastAsia="Calibri"/>
          <w:i/>
          <w:sz w:val="25"/>
          <w:szCs w:val="25"/>
          <w:lang w:val="es-ES_tradnl" w:eastAsia="ar-SA"/>
        </w:rPr>
        <w:t>Convención Iberoamericana de Derechos de los Jóvenes</w:t>
      </w:r>
    </w:p>
    <w:p w:rsidR="00E10B70" w:rsidRPr="004E464B" w:rsidRDefault="00E10B70" w:rsidP="00E10B70">
      <w:pPr>
        <w:spacing w:line="360" w:lineRule="auto"/>
        <w:ind w:firstLine="709"/>
        <w:jc w:val="both"/>
        <w:rPr>
          <w:rFonts w:eastAsia="Calibri"/>
          <w:i/>
          <w:sz w:val="25"/>
          <w:szCs w:val="25"/>
          <w:u w:color="000000"/>
          <w:lang w:val="es-ES_tradnl"/>
        </w:rPr>
      </w:pPr>
      <w:r w:rsidRPr="004E464B">
        <w:rPr>
          <w:i/>
          <w:sz w:val="25"/>
          <w:szCs w:val="25"/>
          <w:lang w:val="es-ES_tradnl" w:eastAsia="ar-SA"/>
        </w:rPr>
        <w:t>Convenio Internacional Número 182 sobre "La Prohibición de las Peores Formas de Trabajo Infantil y la Acción Inmediata para su Eliminación".</w:t>
      </w:r>
    </w:p>
    <w:p w:rsidR="00E10B70" w:rsidRPr="004E464B" w:rsidRDefault="00E10B70" w:rsidP="00E10B70">
      <w:pPr>
        <w:spacing w:line="360" w:lineRule="auto"/>
        <w:ind w:firstLine="709"/>
        <w:jc w:val="both"/>
        <w:rPr>
          <w:rFonts w:eastAsia="Calibri"/>
          <w:i/>
          <w:sz w:val="25"/>
          <w:szCs w:val="25"/>
          <w:u w:color="000000"/>
          <w:lang w:val="es-ES_tradnl"/>
        </w:rPr>
      </w:pPr>
      <w:r w:rsidRPr="004E464B">
        <w:rPr>
          <w:i/>
          <w:sz w:val="25"/>
          <w:szCs w:val="25"/>
          <w:lang w:val="es-ES_tradnl" w:eastAsia="ar-SA"/>
        </w:rPr>
        <w:t>Convenio OIT138: “Sobre la Edad mínima de Admisión al Empleo”.</w:t>
      </w:r>
    </w:p>
    <w:p w:rsidR="00E10B70" w:rsidRPr="004E464B" w:rsidRDefault="00E10B70" w:rsidP="00E10B70">
      <w:pPr>
        <w:spacing w:line="360" w:lineRule="auto"/>
        <w:ind w:firstLine="709"/>
        <w:contextualSpacing/>
        <w:jc w:val="both"/>
        <w:rPr>
          <w:rFonts w:eastAsia="Calibri"/>
          <w:i/>
          <w:sz w:val="25"/>
          <w:szCs w:val="25"/>
          <w:lang w:val="es-ES_tradnl" w:eastAsia="ar-SA"/>
        </w:rPr>
      </w:pPr>
      <w:r w:rsidRPr="004E464B">
        <w:rPr>
          <w:rFonts w:eastAsia="Calibri"/>
          <w:i/>
          <w:sz w:val="25"/>
          <w:szCs w:val="25"/>
          <w:lang w:val="es-ES_tradnl" w:eastAsia="ar-SA"/>
        </w:rPr>
        <w:t>Protocolo Facultativo de la Convención sobre los derechos del niño relativo a un procedimiento de comunicaciones.</w:t>
      </w:r>
    </w:p>
    <w:p w:rsidR="00E10B70" w:rsidRPr="004E464B" w:rsidRDefault="00E10B70" w:rsidP="00E10B70">
      <w:pPr>
        <w:spacing w:line="360" w:lineRule="auto"/>
        <w:ind w:firstLine="709"/>
        <w:contextualSpacing/>
        <w:jc w:val="both"/>
        <w:rPr>
          <w:rFonts w:eastAsia="Calibri"/>
          <w:i/>
          <w:sz w:val="25"/>
          <w:szCs w:val="25"/>
          <w:lang w:val="es-ES_tradnl" w:eastAsia="ar-SA"/>
        </w:rPr>
      </w:pPr>
      <w:bookmarkStart w:id="2" w:name="_Toc920840"/>
      <w:bookmarkEnd w:id="2"/>
      <w:r w:rsidRPr="004E464B">
        <w:rPr>
          <w:rFonts w:eastAsia="Calibri"/>
          <w:i/>
          <w:sz w:val="25"/>
          <w:szCs w:val="25"/>
          <w:lang w:val="es-ES_tradnl" w:eastAsia="ar-SA"/>
        </w:rPr>
        <w:t>Protocolo Facultativo de la Convención sobre los Derechos del Niño relativo a la venta de niños, la prostitución infantil y utilización de niños en la pornografía.</w:t>
      </w:r>
    </w:p>
    <w:p w:rsidR="00E10B70" w:rsidRPr="004E464B" w:rsidRDefault="00E10B70" w:rsidP="00E10B70">
      <w:pPr>
        <w:spacing w:line="360" w:lineRule="auto"/>
        <w:ind w:firstLine="709"/>
        <w:contextualSpacing/>
        <w:jc w:val="both"/>
        <w:rPr>
          <w:rFonts w:eastAsia="Calibri"/>
          <w:i/>
          <w:sz w:val="25"/>
          <w:szCs w:val="25"/>
          <w:lang w:val="es-ES_tradnl" w:eastAsia="ar-SA"/>
        </w:rPr>
      </w:pPr>
      <w:r w:rsidRPr="004E464B">
        <w:rPr>
          <w:rFonts w:eastAsia="Calibri"/>
          <w:i/>
          <w:sz w:val="25"/>
          <w:szCs w:val="25"/>
          <w:lang w:val="es-ES_tradnl" w:eastAsia="ar-SA"/>
        </w:rPr>
        <w:t>Protocolo Facultativo de la Convención sobre los Derechos del Niño Relativo a la Participación de Niños en los Conflictos Armados</w:t>
      </w:r>
      <w:bookmarkStart w:id="3" w:name="_Hlk7079747"/>
      <w:bookmarkEnd w:id="3"/>
    </w:p>
    <w:p w:rsidR="00E10B70" w:rsidRPr="004E464B" w:rsidRDefault="00E10B70" w:rsidP="00E10B70">
      <w:pPr>
        <w:spacing w:line="360" w:lineRule="auto"/>
        <w:ind w:firstLine="709"/>
        <w:contextualSpacing/>
        <w:jc w:val="both"/>
        <w:rPr>
          <w:rFonts w:eastAsia="Calibri"/>
          <w:i/>
          <w:sz w:val="25"/>
          <w:szCs w:val="25"/>
          <w:lang w:val="es-ES_tradnl" w:eastAsia="ar-SA"/>
        </w:rPr>
      </w:pPr>
      <w:r w:rsidRPr="004E464B">
        <w:rPr>
          <w:rFonts w:eastAsia="Helvetica Neue"/>
          <w:b/>
          <w:i/>
          <w:sz w:val="25"/>
          <w:szCs w:val="25"/>
          <w:u w:val="single"/>
          <w:lang w:val="es-ES_tradnl"/>
        </w:rPr>
        <w:t>6.- Instrumentos Internacionales sobre Pueblos Indígenas.</w:t>
      </w:r>
    </w:p>
    <w:p w:rsidR="00E10B70" w:rsidRPr="004E464B" w:rsidRDefault="00E10B70" w:rsidP="00E10B70">
      <w:pPr>
        <w:autoSpaceDE w:val="0"/>
        <w:autoSpaceDN w:val="0"/>
        <w:adjustRightInd w:val="0"/>
        <w:spacing w:line="360" w:lineRule="auto"/>
        <w:ind w:firstLine="709"/>
        <w:jc w:val="both"/>
        <w:rPr>
          <w:i/>
          <w:sz w:val="25"/>
          <w:szCs w:val="25"/>
          <w:lang w:val="es-ES_tradnl"/>
        </w:rPr>
      </w:pPr>
      <w:r w:rsidRPr="004E464B">
        <w:rPr>
          <w:i/>
          <w:sz w:val="25"/>
          <w:szCs w:val="25"/>
          <w:lang w:val="es-ES_tradnl"/>
        </w:rPr>
        <w:t xml:space="preserve">Convenio </w:t>
      </w:r>
      <w:r w:rsidRPr="004E464B">
        <w:rPr>
          <w:i/>
          <w:iCs/>
          <w:sz w:val="25"/>
          <w:szCs w:val="25"/>
          <w:lang w:val="es-ES_tradnl"/>
        </w:rPr>
        <w:t xml:space="preserve">relativo a la protección e integración de las poblaciones indígenas y de otras poblaciones tribales y semitribales en los países </w:t>
      </w:r>
      <w:r w:rsidRPr="004E464B">
        <w:rPr>
          <w:i/>
          <w:sz w:val="25"/>
          <w:szCs w:val="25"/>
          <w:lang w:val="es-ES_tradnl"/>
        </w:rPr>
        <w:t xml:space="preserve">1957 (Convenio 107 OIT) </w:t>
      </w:r>
    </w:p>
    <w:p w:rsidR="00E10B70" w:rsidRPr="004E464B" w:rsidRDefault="00E10B70" w:rsidP="00E10B70">
      <w:pPr>
        <w:autoSpaceDE w:val="0"/>
        <w:autoSpaceDN w:val="0"/>
        <w:adjustRightInd w:val="0"/>
        <w:spacing w:line="360" w:lineRule="auto"/>
        <w:ind w:firstLine="709"/>
        <w:jc w:val="both"/>
        <w:rPr>
          <w:i/>
          <w:sz w:val="25"/>
          <w:szCs w:val="25"/>
          <w:lang w:val="es-ES_tradnl"/>
        </w:rPr>
      </w:pPr>
      <w:r w:rsidRPr="004E464B">
        <w:rPr>
          <w:i/>
          <w:sz w:val="25"/>
          <w:szCs w:val="25"/>
          <w:lang w:val="es-ES_tradnl"/>
        </w:rPr>
        <w:t xml:space="preserve">Convenio sobre Pueblos Indígenas y Tribales 1989 (Convenio 169 OIT) </w:t>
      </w:r>
    </w:p>
    <w:p w:rsidR="00E10B70" w:rsidRPr="004E464B" w:rsidRDefault="00E10B70" w:rsidP="00E10B70">
      <w:pPr>
        <w:autoSpaceDE w:val="0"/>
        <w:autoSpaceDN w:val="0"/>
        <w:adjustRightInd w:val="0"/>
        <w:spacing w:line="360" w:lineRule="auto"/>
        <w:ind w:firstLine="709"/>
        <w:jc w:val="both"/>
        <w:rPr>
          <w:i/>
          <w:sz w:val="25"/>
          <w:szCs w:val="25"/>
          <w:lang w:val="es-ES_tradnl"/>
        </w:rPr>
      </w:pPr>
      <w:r w:rsidRPr="004E464B">
        <w:rPr>
          <w:i/>
          <w:sz w:val="25"/>
          <w:szCs w:val="25"/>
          <w:lang w:val="es-ES_tradnl"/>
        </w:rPr>
        <w:t xml:space="preserve">Declaración de las Naciones Unidas sobre los derechos de los Pueblos Indígenas 2007 </w:t>
      </w:r>
    </w:p>
    <w:p w:rsidR="00E10B70" w:rsidRPr="004E464B" w:rsidRDefault="00E10B70" w:rsidP="00E10B70">
      <w:pPr>
        <w:autoSpaceDE w:val="0"/>
        <w:autoSpaceDN w:val="0"/>
        <w:adjustRightInd w:val="0"/>
        <w:spacing w:line="360" w:lineRule="auto"/>
        <w:ind w:firstLine="709"/>
        <w:jc w:val="both"/>
        <w:rPr>
          <w:i/>
          <w:sz w:val="25"/>
          <w:szCs w:val="25"/>
          <w:lang w:val="es-ES_tradnl"/>
        </w:rPr>
      </w:pPr>
      <w:r w:rsidRPr="004E464B">
        <w:rPr>
          <w:i/>
          <w:sz w:val="25"/>
          <w:szCs w:val="25"/>
          <w:lang w:val="es-ES_tradnl"/>
        </w:rPr>
        <w:t xml:space="preserve">Declaración Americana sobre Derechos de los Pueblos Indígenas OEA 2016 </w:t>
      </w:r>
    </w:p>
    <w:p w:rsidR="00E10B70" w:rsidRPr="004E464B" w:rsidRDefault="00E10B70" w:rsidP="00E10B70">
      <w:pPr>
        <w:spacing w:line="360" w:lineRule="auto"/>
        <w:ind w:firstLine="709"/>
        <w:jc w:val="both"/>
        <w:rPr>
          <w:b/>
          <w:bCs/>
          <w:i/>
          <w:kern w:val="2"/>
          <w:sz w:val="25"/>
          <w:szCs w:val="25"/>
          <w:u w:val="single"/>
          <w:lang w:val="es-ES_tradnl"/>
        </w:rPr>
      </w:pPr>
      <w:r w:rsidRPr="004E464B">
        <w:rPr>
          <w:b/>
          <w:bCs/>
          <w:i/>
          <w:kern w:val="2"/>
          <w:sz w:val="25"/>
          <w:szCs w:val="25"/>
          <w:u w:val="single"/>
          <w:lang w:val="es-ES_tradnl"/>
        </w:rPr>
        <w:t xml:space="preserve">7.- Instrumentos </w:t>
      </w:r>
      <w:r w:rsidRPr="004E464B">
        <w:rPr>
          <w:rFonts w:eastAsia="Helvetica Neue"/>
          <w:b/>
          <w:i/>
          <w:sz w:val="25"/>
          <w:szCs w:val="25"/>
          <w:u w:val="single"/>
          <w:lang w:val="es-ES_tradnl"/>
        </w:rPr>
        <w:t>Internacionales</w:t>
      </w:r>
      <w:r w:rsidRPr="004E464B">
        <w:rPr>
          <w:b/>
          <w:bCs/>
          <w:i/>
          <w:kern w:val="2"/>
          <w:sz w:val="25"/>
          <w:szCs w:val="25"/>
          <w:u w:val="single"/>
          <w:lang w:val="es-ES_tradnl"/>
        </w:rPr>
        <w:t xml:space="preserve"> sobre Población LGTBI. </w:t>
      </w:r>
    </w:p>
    <w:p w:rsidR="00E10B70" w:rsidRPr="004E464B" w:rsidRDefault="00E10B70" w:rsidP="00E10B70">
      <w:pPr>
        <w:spacing w:line="360" w:lineRule="auto"/>
        <w:ind w:firstLine="709"/>
        <w:contextualSpacing/>
        <w:jc w:val="both"/>
        <w:rPr>
          <w:rFonts w:eastAsia="Calibri"/>
          <w:i/>
          <w:sz w:val="25"/>
          <w:szCs w:val="25"/>
          <w:u w:color="000000"/>
          <w:lang w:val="es-ES_tradnl"/>
        </w:rPr>
      </w:pPr>
    </w:p>
    <w:p w:rsidR="00E10B70" w:rsidRPr="004E464B" w:rsidRDefault="00E10B70" w:rsidP="00E10B70">
      <w:pPr>
        <w:spacing w:line="360" w:lineRule="auto"/>
        <w:ind w:firstLine="709"/>
        <w:contextualSpacing/>
        <w:jc w:val="both"/>
        <w:rPr>
          <w:rFonts w:eastAsia="Calibri"/>
          <w:i/>
          <w:sz w:val="25"/>
          <w:szCs w:val="25"/>
          <w:u w:color="000000"/>
          <w:lang w:val="es-ES_tradnl"/>
        </w:rPr>
      </w:pPr>
      <w:r w:rsidRPr="004E464B">
        <w:rPr>
          <w:rFonts w:eastAsia="Calibri"/>
          <w:i/>
          <w:sz w:val="25"/>
          <w:szCs w:val="25"/>
          <w:u w:color="000000"/>
          <w:lang w:val="es-ES_tradnl"/>
        </w:rPr>
        <w:t>Declaración Universal de los Derechos Humanos</w:t>
      </w:r>
    </w:p>
    <w:p w:rsidR="00E10B70" w:rsidRPr="004E464B" w:rsidRDefault="00E10B70" w:rsidP="00E10B70">
      <w:pPr>
        <w:spacing w:line="360" w:lineRule="auto"/>
        <w:ind w:firstLine="709"/>
        <w:jc w:val="both"/>
        <w:rPr>
          <w:rFonts w:eastAsia="Calibri"/>
          <w:i/>
          <w:sz w:val="25"/>
          <w:szCs w:val="25"/>
          <w:u w:color="000000"/>
          <w:lang w:val="es-ES_tradnl"/>
        </w:rPr>
      </w:pPr>
      <w:r w:rsidRPr="004E464B">
        <w:rPr>
          <w:rFonts w:eastAsia="Calibri"/>
          <w:i/>
          <w:sz w:val="25"/>
          <w:szCs w:val="25"/>
          <w:u w:color="000000"/>
          <w:lang w:val="es-ES_tradnl"/>
        </w:rPr>
        <w:t xml:space="preserve">Principios de Yogyakarta </w:t>
      </w:r>
    </w:p>
    <w:p w:rsidR="00E10B70" w:rsidRPr="004E464B" w:rsidRDefault="00E10B70" w:rsidP="00E10B70">
      <w:pPr>
        <w:spacing w:line="360" w:lineRule="auto"/>
        <w:ind w:firstLine="709"/>
        <w:jc w:val="both"/>
        <w:rPr>
          <w:rFonts w:eastAsia="Calibri"/>
          <w:i/>
          <w:sz w:val="25"/>
          <w:szCs w:val="25"/>
          <w:u w:color="000000"/>
          <w:lang w:val="es-ES_tradnl"/>
        </w:rPr>
      </w:pPr>
      <w:r w:rsidRPr="004E464B">
        <w:rPr>
          <w:rFonts w:eastAsia="Calibri"/>
          <w:i/>
          <w:sz w:val="25"/>
          <w:szCs w:val="25"/>
          <w:u w:color="000000"/>
          <w:lang w:val="es-ES_tradnl"/>
        </w:rPr>
        <w:t>El Pacto de los Derechos Civiles y Políticos</w:t>
      </w:r>
    </w:p>
    <w:p w:rsidR="00E10B70" w:rsidRPr="004E464B" w:rsidRDefault="00E10B70" w:rsidP="00E10B70">
      <w:pPr>
        <w:spacing w:line="360" w:lineRule="auto"/>
        <w:ind w:firstLine="709"/>
        <w:jc w:val="both"/>
        <w:rPr>
          <w:rFonts w:eastAsia="Calibri"/>
          <w:i/>
          <w:sz w:val="25"/>
          <w:szCs w:val="25"/>
          <w:u w:color="000000"/>
          <w:lang w:val="es-ES_tradnl"/>
        </w:rPr>
      </w:pPr>
      <w:r w:rsidRPr="004E464B">
        <w:rPr>
          <w:rFonts w:eastAsia="Calibri"/>
          <w:i/>
          <w:sz w:val="25"/>
          <w:szCs w:val="25"/>
          <w:u w:color="000000"/>
          <w:lang w:val="es-ES_tradnl"/>
        </w:rPr>
        <w:t>Declaración sobre Orientación Sexual e Identidad de Género de la ONU</w:t>
      </w:r>
    </w:p>
    <w:p w:rsidR="00E10B70" w:rsidRPr="004E464B" w:rsidRDefault="00E10B70" w:rsidP="00E10B70">
      <w:pPr>
        <w:spacing w:line="360" w:lineRule="auto"/>
        <w:ind w:firstLine="709"/>
        <w:contextualSpacing/>
        <w:jc w:val="both"/>
        <w:rPr>
          <w:rFonts w:eastAsia="Calibri"/>
          <w:i/>
          <w:sz w:val="25"/>
          <w:szCs w:val="25"/>
          <w:lang w:val="es-ES_tradnl" w:eastAsia="ar-SA"/>
        </w:rPr>
      </w:pPr>
      <w:r w:rsidRPr="004E464B">
        <w:rPr>
          <w:rFonts w:eastAsia="Calibri"/>
          <w:i/>
          <w:sz w:val="25"/>
          <w:szCs w:val="25"/>
          <w:lang w:val="es-ES_tradnl" w:eastAsia="ar-SA"/>
        </w:rPr>
        <w:t>Opinión Consultiva n°24</w:t>
      </w:r>
    </w:p>
    <w:p w:rsidR="00E10B70" w:rsidRPr="004E464B" w:rsidRDefault="00E10B70" w:rsidP="00E10B70">
      <w:pPr>
        <w:spacing w:line="360" w:lineRule="auto"/>
        <w:ind w:firstLine="709"/>
        <w:jc w:val="both"/>
        <w:rPr>
          <w:rFonts w:eastAsia="Calibri"/>
          <w:b/>
          <w:i/>
          <w:sz w:val="25"/>
          <w:szCs w:val="25"/>
          <w:u w:val="single"/>
          <w:lang w:val="es-ES_tradnl"/>
        </w:rPr>
      </w:pPr>
      <w:r w:rsidRPr="004E464B">
        <w:rPr>
          <w:rFonts w:eastAsia="Calibri"/>
          <w:b/>
          <w:i/>
          <w:sz w:val="25"/>
          <w:szCs w:val="25"/>
          <w:u w:val="single"/>
          <w:lang w:val="es-ES_tradnl"/>
        </w:rPr>
        <w:t xml:space="preserve">8.- Instrumentos </w:t>
      </w:r>
      <w:r w:rsidRPr="004E464B">
        <w:rPr>
          <w:rFonts w:eastAsia="Helvetica Neue"/>
          <w:b/>
          <w:i/>
          <w:sz w:val="25"/>
          <w:szCs w:val="25"/>
          <w:u w:val="single"/>
          <w:lang w:val="es-ES_tradnl"/>
        </w:rPr>
        <w:t>Internacionales</w:t>
      </w:r>
      <w:r w:rsidRPr="004E464B">
        <w:rPr>
          <w:rFonts w:eastAsia="Calibri"/>
          <w:b/>
          <w:i/>
          <w:sz w:val="25"/>
          <w:szCs w:val="25"/>
          <w:u w:val="single"/>
          <w:lang w:val="es-ES_tradnl"/>
        </w:rPr>
        <w:t xml:space="preserve"> de Población Migrante y Refugiada.</w:t>
      </w:r>
    </w:p>
    <w:p w:rsidR="00E10B70" w:rsidRPr="004E464B" w:rsidRDefault="00E10B70" w:rsidP="00E10B70">
      <w:pPr>
        <w:spacing w:line="360" w:lineRule="auto"/>
        <w:ind w:firstLine="709"/>
        <w:contextualSpacing/>
        <w:jc w:val="both"/>
        <w:rPr>
          <w:rFonts w:eastAsia="Calibri"/>
          <w:i/>
          <w:sz w:val="25"/>
          <w:szCs w:val="25"/>
          <w:lang w:val="es-ES_tradnl" w:eastAsia="ar-SA"/>
        </w:rPr>
      </w:pPr>
      <w:r w:rsidRPr="004E464B">
        <w:rPr>
          <w:rFonts w:eastAsia="Calibri"/>
          <w:i/>
          <w:sz w:val="25"/>
          <w:szCs w:val="25"/>
          <w:lang w:val="es-ES_tradnl" w:eastAsia="ar-SA"/>
        </w:rPr>
        <w:t xml:space="preserve">Convención para Reducir los Casos de Apatridia (Nueva York, 1961)  </w:t>
      </w:r>
    </w:p>
    <w:p w:rsidR="00E10B70" w:rsidRPr="004E464B" w:rsidRDefault="00E10B70" w:rsidP="00E10B70">
      <w:pPr>
        <w:spacing w:line="360" w:lineRule="auto"/>
        <w:ind w:firstLine="709"/>
        <w:contextualSpacing/>
        <w:jc w:val="both"/>
        <w:rPr>
          <w:rFonts w:eastAsia="Calibri"/>
          <w:i/>
          <w:sz w:val="25"/>
          <w:szCs w:val="25"/>
          <w:lang w:val="es-ES_tradnl" w:eastAsia="ar-SA"/>
        </w:rPr>
      </w:pPr>
      <w:r w:rsidRPr="004E464B">
        <w:rPr>
          <w:rFonts w:eastAsia="Calibri"/>
          <w:i/>
          <w:sz w:val="25"/>
          <w:szCs w:val="25"/>
          <w:lang w:val="es-ES_tradnl" w:eastAsia="ar-SA"/>
        </w:rPr>
        <w:t xml:space="preserve">Convenciones sobre Refugiados y Apátridas </w:t>
      </w:r>
    </w:p>
    <w:p w:rsidR="00E10B70" w:rsidRPr="004E464B" w:rsidRDefault="00E10B70" w:rsidP="00E10B70">
      <w:pPr>
        <w:spacing w:line="360" w:lineRule="auto"/>
        <w:ind w:firstLine="709"/>
        <w:contextualSpacing/>
        <w:jc w:val="both"/>
        <w:rPr>
          <w:rFonts w:eastAsia="Calibri"/>
          <w:i/>
          <w:sz w:val="25"/>
          <w:szCs w:val="25"/>
          <w:lang w:val="es-ES_tradnl" w:eastAsia="ar-SA"/>
        </w:rPr>
      </w:pPr>
      <w:r w:rsidRPr="004E464B">
        <w:rPr>
          <w:rFonts w:eastAsia="Calibri"/>
          <w:i/>
          <w:sz w:val="25"/>
          <w:szCs w:val="25"/>
          <w:lang w:val="es-ES_tradnl" w:eastAsia="ar-SA"/>
        </w:rPr>
        <w:lastRenderedPageBreak/>
        <w:t>Convención sobre los Derechos del Niño</w:t>
      </w:r>
    </w:p>
    <w:p w:rsidR="00E10B70" w:rsidRPr="004E464B" w:rsidRDefault="00E10B70" w:rsidP="00E10B70">
      <w:pPr>
        <w:spacing w:line="360" w:lineRule="auto"/>
        <w:ind w:firstLine="709"/>
        <w:contextualSpacing/>
        <w:jc w:val="both"/>
        <w:rPr>
          <w:rFonts w:eastAsia="Calibri"/>
          <w:i/>
          <w:sz w:val="25"/>
          <w:szCs w:val="25"/>
          <w:lang w:val="es-ES_tradnl" w:eastAsia="ar-SA"/>
        </w:rPr>
      </w:pPr>
      <w:r w:rsidRPr="004E464B">
        <w:rPr>
          <w:rFonts w:eastAsia="Calibri"/>
          <w:i/>
          <w:sz w:val="25"/>
          <w:szCs w:val="25"/>
          <w:lang w:val="es-ES_tradnl" w:eastAsia="ar-SA"/>
        </w:rPr>
        <w:t>Opinión Consultiva n°24</w:t>
      </w:r>
    </w:p>
    <w:p w:rsidR="00E10B70" w:rsidRPr="004E464B" w:rsidRDefault="00E10B70" w:rsidP="00E10B70">
      <w:pPr>
        <w:spacing w:line="360" w:lineRule="auto"/>
        <w:ind w:firstLine="709"/>
        <w:contextualSpacing/>
        <w:jc w:val="both"/>
        <w:rPr>
          <w:rFonts w:eastAsia="Calibri"/>
          <w:i/>
          <w:sz w:val="25"/>
          <w:szCs w:val="25"/>
          <w:lang w:val="es-ES_tradnl" w:eastAsia="ar-SA"/>
        </w:rPr>
      </w:pPr>
      <w:r w:rsidRPr="004E464B">
        <w:rPr>
          <w:rFonts w:eastAsia="Calibri"/>
          <w:b/>
          <w:i/>
          <w:sz w:val="25"/>
          <w:szCs w:val="25"/>
          <w:u w:val="single"/>
          <w:lang w:val="es-ES_tradnl" w:eastAsia="ar-SA"/>
        </w:rPr>
        <w:t>9.- Instrumentos Internacionales sobre Género</w:t>
      </w:r>
    </w:p>
    <w:p w:rsidR="00E10B70" w:rsidRPr="004E464B" w:rsidRDefault="00E10B70" w:rsidP="00E10B70">
      <w:pPr>
        <w:spacing w:line="360" w:lineRule="auto"/>
        <w:ind w:firstLine="709"/>
        <w:contextualSpacing/>
        <w:jc w:val="both"/>
        <w:rPr>
          <w:rFonts w:eastAsia="Calibri"/>
          <w:i/>
          <w:sz w:val="25"/>
          <w:szCs w:val="25"/>
          <w:lang w:val="es-ES_tradnl" w:eastAsia="ar-SA"/>
        </w:rPr>
      </w:pPr>
      <w:r w:rsidRPr="004E464B">
        <w:rPr>
          <w:rFonts w:eastAsia="Calibri"/>
          <w:i/>
          <w:sz w:val="25"/>
          <w:szCs w:val="25"/>
          <w:lang w:val="es-ES_tradnl" w:eastAsia="ar-SA"/>
        </w:rPr>
        <w:t>Convención sobre la Eliminación de Todas las Formas de Discriminación contra la Mujer</w:t>
      </w:r>
    </w:p>
    <w:p w:rsidR="00E10B70" w:rsidRPr="004E464B" w:rsidRDefault="00E10B70" w:rsidP="00E10B70">
      <w:pPr>
        <w:spacing w:line="360" w:lineRule="auto"/>
        <w:ind w:firstLine="709"/>
        <w:contextualSpacing/>
        <w:jc w:val="both"/>
        <w:rPr>
          <w:rFonts w:eastAsia="Calibri"/>
          <w:i/>
          <w:sz w:val="25"/>
          <w:szCs w:val="25"/>
          <w:lang w:val="es-ES_tradnl" w:eastAsia="ar-SA"/>
        </w:rPr>
      </w:pPr>
      <w:r w:rsidRPr="004E464B">
        <w:rPr>
          <w:rFonts w:eastAsia="Calibri"/>
          <w:i/>
          <w:sz w:val="25"/>
          <w:szCs w:val="25"/>
          <w:lang w:val="es-ES_tradnl" w:eastAsia="ar-SA"/>
        </w:rPr>
        <w:t>Protocolo Facultativo de la Convención para Eliminación de todas las formas de Discriminación contra la Mujer</w:t>
      </w:r>
    </w:p>
    <w:p w:rsidR="00E10B70" w:rsidRPr="004E464B" w:rsidRDefault="00E10B70" w:rsidP="00E10B70">
      <w:pPr>
        <w:spacing w:line="360" w:lineRule="auto"/>
        <w:ind w:firstLine="709"/>
        <w:contextualSpacing/>
        <w:jc w:val="both"/>
        <w:rPr>
          <w:rFonts w:eastAsia="Calibri"/>
          <w:i/>
          <w:sz w:val="25"/>
          <w:szCs w:val="25"/>
          <w:lang w:val="es-ES_tradnl" w:eastAsia="ar-SA"/>
        </w:rPr>
      </w:pPr>
      <w:r w:rsidRPr="004E464B">
        <w:rPr>
          <w:rFonts w:eastAsia="Calibri"/>
          <w:i/>
          <w:sz w:val="25"/>
          <w:szCs w:val="25"/>
          <w:lang w:val="es-ES_tradnl" w:eastAsia="ar-SA"/>
        </w:rPr>
        <w:t>Convención Interamericana para prevenir, sancionar y erradicar la violencia contra la mujer "Convención Belem Do Pará"</w:t>
      </w:r>
    </w:p>
    <w:p w:rsidR="00E10B70" w:rsidRPr="004E464B" w:rsidRDefault="00E10B70" w:rsidP="00E10B70">
      <w:pPr>
        <w:spacing w:line="360" w:lineRule="auto"/>
        <w:ind w:firstLine="709"/>
        <w:contextualSpacing/>
        <w:jc w:val="both"/>
        <w:rPr>
          <w:rFonts w:eastAsia="Calibri"/>
          <w:b/>
          <w:i/>
          <w:sz w:val="25"/>
          <w:szCs w:val="25"/>
          <w:u w:val="single"/>
          <w:lang w:val="es-ES_tradnl" w:eastAsia="ar-SA"/>
        </w:rPr>
      </w:pPr>
      <w:r w:rsidRPr="004E464B">
        <w:rPr>
          <w:rFonts w:eastAsia="Calibri"/>
          <w:b/>
          <w:i/>
          <w:sz w:val="25"/>
          <w:szCs w:val="25"/>
          <w:u w:val="single"/>
          <w:lang w:val="es-ES_tradnl" w:eastAsia="ar-SA"/>
        </w:rPr>
        <w:t>10.- Instrumentos en materia de Personas Privadas de Libertad</w:t>
      </w:r>
    </w:p>
    <w:p w:rsidR="00E10B70" w:rsidRPr="004E464B" w:rsidRDefault="00E10B70" w:rsidP="00E10B70">
      <w:pPr>
        <w:spacing w:line="360" w:lineRule="auto"/>
        <w:ind w:firstLine="709"/>
        <w:contextualSpacing/>
        <w:jc w:val="both"/>
        <w:rPr>
          <w:i/>
          <w:sz w:val="25"/>
          <w:szCs w:val="25"/>
          <w:lang w:val="es-ES_tradnl" w:eastAsia="ar-SA"/>
        </w:rPr>
      </w:pPr>
      <w:r w:rsidRPr="004E464B">
        <w:rPr>
          <w:bCs/>
          <w:i/>
          <w:sz w:val="25"/>
          <w:szCs w:val="25"/>
          <w:lang w:val="es-ES_tradnl" w:eastAsia="ar-SA"/>
        </w:rPr>
        <w:t>Declaración Universal de Derechos Humanos</w:t>
      </w:r>
    </w:p>
    <w:p w:rsidR="00E10B70" w:rsidRPr="004E464B" w:rsidRDefault="00E10B70" w:rsidP="00E10B70">
      <w:pPr>
        <w:spacing w:line="360" w:lineRule="auto"/>
        <w:ind w:firstLine="709"/>
        <w:contextualSpacing/>
        <w:jc w:val="both"/>
        <w:rPr>
          <w:i/>
          <w:sz w:val="25"/>
          <w:szCs w:val="25"/>
          <w:lang w:val="es-ES_tradnl" w:eastAsia="ar-SA"/>
        </w:rPr>
      </w:pPr>
      <w:r w:rsidRPr="004E464B">
        <w:rPr>
          <w:bCs/>
          <w:i/>
          <w:sz w:val="25"/>
          <w:szCs w:val="25"/>
          <w:lang w:val="es-ES_tradnl" w:eastAsia="ar-SA"/>
        </w:rPr>
        <w:t>Pacto Internacional de Derechos Económicos, Sociales y Culturales</w:t>
      </w:r>
    </w:p>
    <w:p w:rsidR="00E10B70" w:rsidRPr="004E464B" w:rsidRDefault="00E10B70" w:rsidP="00E10B70">
      <w:pPr>
        <w:spacing w:line="360" w:lineRule="auto"/>
        <w:ind w:firstLine="709"/>
        <w:contextualSpacing/>
        <w:jc w:val="both"/>
        <w:rPr>
          <w:i/>
          <w:sz w:val="25"/>
          <w:szCs w:val="25"/>
          <w:lang w:val="es-ES_tradnl" w:eastAsia="ar-SA"/>
        </w:rPr>
      </w:pPr>
      <w:r w:rsidRPr="004E464B">
        <w:rPr>
          <w:bCs/>
          <w:i/>
          <w:sz w:val="25"/>
          <w:szCs w:val="25"/>
          <w:lang w:val="es-ES_tradnl" w:eastAsia="ar-SA"/>
        </w:rPr>
        <w:t>Pacto Internacional de Derechos Civiles y Políticos</w:t>
      </w:r>
    </w:p>
    <w:p w:rsidR="00E10B70" w:rsidRPr="004E464B" w:rsidRDefault="00E10B70" w:rsidP="00E10B70">
      <w:pPr>
        <w:spacing w:line="360" w:lineRule="auto"/>
        <w:ind w:firstLine="709"/>
        <w:contextualSpacing/>
        <w:jc w:val="both"/>
        <w:rPr>
          <w:i/>
          <w:sz w:val="25"/>
          <w:szCs w:val="25"/>
          <w:lang w:val="es-ES_tradnl" w:eastAsia="ar-SA"/>
        </w:rPr>
      </w:pPr>
      <w:r w:rsidRPr="004E464B">
        <w:rPr>
          <w:bCs/>
          <w:i/>
          <w:sz w:val="25"/>
          <w:szCs w:val="25"/>
          <w:lang w:val="es-ES_tradnl" w:eastAsia="ar-SA"/>
        </w:rPr>
        <w:t>Convención contra la Tortura y otros Tratos o Penas Crueles, Inhumanos o Degradantes y su Protocolo Facultativo</w:t>
      </w:r>
    </w:p>
    <w:p w:rsidR="00E10B70" w:rsidRPr="004E464B" w:rsidRDefault="00E10B70" w:rsidP="00E10B70">
      <w:pPr>
        <w:spacing w:line="360" w:lineRule="auto"/>
        <w:ind w:firstLine="709"/>
        <w:contextualSpacing/>
        <w:jc w:val="both"/>
        <w:rPr>
          <w:i/>
          <w:sz w:val="25"/>
          <w:szCs w:val="25"/>
          <w:lang w:val="es-ES_tradnl" w:eastAsia="ar-SA"/>
        </w:rPr>
      </w:pPr>
      <w:r w:rsidRPr="004E464B">
        <w:rPr>
          <w:bCs/>
          <w:i/>
          <w:sz w:val="25"/>
          <w:szCs w:val="25"/>
          <w:lang w:val="es-ES_tradnl" w:eastAsia="ar-SA"/>
        </w:rPr>
        <w:t>Estatuto de Roma de la Corte Penal Internacional</w:t>
      </w:r>
    </w:p>
    <w:p w:rsidR="00E10B70" w:rsidRPr="004E464B" w:rsidRDefault="00E10B70" w:rsidP="00E10B70">
      <w:pPr>
        <w:spacing w:line="360" w:lineRule="auto"/>
        <w:ind w:firstLine="709"/>
        <w:contextualSpacing/>
        <w:jc w:val="both"/>
        <w:rPr>
          <w:bCs/>
          <w:i/>
          <w:sz w:val="25"/>
          <w:szCs w:val="25"/>
          <w:lang w:val="es-ES_tradnl" w:eastAsia="ar-SA"/>
        </w:rPr>
      </w:pPr>
      <w:r w:rsidRPr="004E464B">
        <w:rPr>
          <w:bCs/>
          <w:i/>
          <w:sz w:val="25"/>
          <w:szCs w:val="25"/>
          <w:lang w:val="es-ES_tradnl" w:eastAsia="ar-SA"/>
        </w:rPr>
        <w:t>Convención Internacional sobre la Eliminación de todas las formas de Discriminación Racial</w:t>
      </w:r>
    </w:p>
    <w:p w:rsidR="00E10B70" w:rsidRPr="004E464B" w:rsidRDefault="00E10B70" w:rsidP="00E10B70">
      <w:pPr>
        <w:spacing w:line="360" w:lineRule="auto"/>
        <w:ind w:firstLine="709"/>
        <w:contextualSpacing/>
        <w:jc w:val="both"/>
        <w:rPr>
          <w:bCs/>
          <w:i/>
          <w:sz w:val="25"/>
          <w:szCs w:val="25"/>
          <w:lang w:val="es-ES_tradnl" w:eastAsia="ar-SA"/>
        </w:rPr>
      </w:pPr>
      <w:r w:rsidRPr="004E464B">
        <w:rPr>
          <w:bCs/>
          <w:i/>
          <w:sz w:val="25"/>
          <w:szCs w:val="25"/>
          <w:lang w:val="es-ES_tradnl" w:eastAsia="ar-SA"/>
        </w:rPr>
        <w:t>Convención sobre la Eliminación de todas las formas de Discriminación Contra la Mujer (CEDAW) y su Protocolo Facultativo</w:t>
      </w:r>
    </w:p>
    <w:p w:rsidR="00E10B70" w:rsidRPr="004E464B" w:rsidRDefault="00E10B70" w:rsidP="00E10B70">
      <w:pPr>
        <w:spacing w:line="360" w:lineRule="auto"/>
        <w:ind w:firstLine="709"/>
        <w:contextualSpacing/>
        <w:jc w:val="both"/>
        <w:rPr>
          <w:i/>
          <w:sz w:val="25"/>
          <w:szCs w:val="25"/>
          <w:lang w:val="es-ES_tradnl" w:eastAsia="ar-SA"/>
        </w:rPr>
      </w:pPr>
      <w:r w:rsidRPr="004E464B">
        <w:rPr>
          <w:bCs/>
          <w:i/>
          <w:sz w:val="25"/>
          <w:szCs w:val="25"/>
          <w:lang w:val="es-ES_tradnl" w:eastAsia="ar-SA"/>
        </w:rPr>
        <w:t>Declaración sobre la Eliminación de la Violencia contra la Mujer</w:t>
      </w:r>
    </w:p>
    <w:p w:rsidR="00E10B70" w:rsidRPr="004E464B" w:rsidRDefault="00E10B70" w:rsidP="00E10B70">
      <w:pPr>
        <w:spacing w:line="360" w:lineRule="auto"/>
        <w:ind w:firstLine="709"/>
        <w:contextualSpacing/>
        <w:jc w:val="both"/>
        <w:rPr>
          <w:i/>
          <w:sz w:val="25"/>
          <w:szCs w:val="25"/>
          <w:lang w:val="es-ES_tradnl" w:eastAsia="ar-SA"/>
        </w:rPr>
      </w:pPr>
      <w:r w:rsidRPr="004E464B">
        <w:rPr>
          <w:bCs/>
          <w:i/>
          <w:sz w:val="25"/>
          <w:szCs w:val="25"/>
          <w:lang w:val="es-ES_tradnl" w:eastAsia="ar-SA"/>
        </w:rPr>
        <w:t>Declaración y Plataforma de Acción de Beijing</w:t>
      </w:r>
    </w:p>
    <w:p w:rsidR="00E10B70" w:rsidRPr="004E464B" w:rsidRDefault="00E10B70" w:rsidP="00E10B70">
      <w:pPr>
        <w:spacing w:line="360" w:lineRule="auto"/>
        <w:ind w:firstLine="709"/>
        <w:contextualSpacing/>
        <w:jc w:val="both"/>
        <w:rPr>
          <w:i/>
          <w:sz w:val="25"/>
          <w:szCs w:val="25"/>
          <w:lang w:val="es-ES_tradnl" w:eastAsia="ar-SA"/>
        </w:rPr>
      </w:pPr>
      <w:r w:rsidRPr="004E464B">
        <w:rPr>
          <w:bCs/>
          <w:i/>
          <w:sz w:val="25"/>
          <w:szCs w:val="25"/>
          <w:lang w:val="es-ES_tradnl" w:eastAsia="ar-SA"/>
        </w:rPr>
        <w:t>Reglas de las Naciones Unidas para el Tratamiento de las Reclusas y Medidas no Privativas de Libertad para las Mujeres Delincuentes (Reglas de Bangkok)</w:t>
      </w:r>
    </w:p>
    <w:p w:rsidR="00E10B70" w:rsidRPr="004E464B" w:rsidRDefault="00E10B70" w:rsidP="00E10B70">
      <w:pPr>
        <w:spacing w:line="360" w:lineRule="auto"/>
        <w:ind w:firstLine="709"/>
        <w:contextualSpacing/>
        <w:jc w:val="both"/>
        <w:rPr>
          <w:i/>
          <w:sz w:val="25"/>
          <w:szCs w:val="25"/>
          <w:lang w:val="es-ES_tradnl" w:eastAsia="ar-SA"/>
        </w:rPr>
      </w:pPr>
      <w:r w:rsidRPr="004E464B">
        <w:rPr>
          <w:bCs/>
          <w:i/>
          <w:sz w:val="25"/>
          <w:szCs w:val="25"/>
          <w:lang w:val="es-ES_tradnl" w:eastAsia="ar-SA"/>
        </w:rPr>
        <w:t>Reglas Mínimas de las Naciones Unidas sobre las Medidas no Privativas de Libertad (Reglas de Tokio)</w:t>
      </w:r>
    </w:p>
    <w:p w:rsidR="00E10B70" w:rsidRPr="004E464B" w:rsidRDefault="00E10B70" w:rsidP="00E10B70">
      <w:pPr>
        <w:spacing w:line="360" w:lineRule="auto"/>
        <w:ind w:firstLine="709"/>
        <w:contextualSpacing/>
        <w:jc w:val="both"/>
        <w:rPr>
          <w:i/>
          <w:sz w:val="25"/>
          <w:szCs w:val="25"/>
          <w:lang w:val="es-ES_tradnl" w:eastAsia="ar-SA"/>
        </w:rPr>
      </w:pPr>
      <w:r w:rsidRPr="004E464B">
        <w:rPr>
          <w:bCs/>
          <w:i/>
          <w:sz w:val="25"/>
          <w:szCs w:val="25"/>
          <w:lang w:val="es-ES_tradnl" w:eastAsia="ar-SA"/>
        </w:rPr>
        <w:t>Principios Básicos sobre el Empleo de la Fuerza y de Armas de Fuego por parte de oficiales encargados de hacer cumplir la ley</w:t>
      </w:r>
    </w:p>
    <w:p w:rsidR="00E10B70" w:rsidRPr="004E464B" w:rsidRDefault="00E10B70" w:rsidP="00E10B70">
      <w:pPr>
        <w:spacing w:line="360" w:lineRule="auto"/>
        <w:ind w:firstLine="709"/>
        <w:contextualSpacing/>
        <w:jc w:val="both"/>
        <w:rPr>
          <w:i/>
          <w:sz w:val="25"/>
          <w:szCs w:val="25"/>
          <w:lang w:val="es-ES_tradnl" w:eastAsia="ar-SA"/>
        </w:rPr>
      </w:pPr>
      <w:r w:rsidRPr="004E464B">
        <w:rPr>
          <w:bCs/>
          <w:i/>
          <w:sz w:val="25"/>
          <w:szCs w:val="25"/>
          <w:lang w:val="es-ES_tradnl" w:eastAsia="ar-SA"/>
        </w:rPr>
        <w:lastRenderedPageBreak/>
        <w:t>Reglas Mínimas para el Tratamiento de Reclusos</w:t>
      </w:r>
    </w:p>
    <w:p w:rsidR="00E10B70" w:rsidRPr="004E464B" w:rsidRDefault="00E10B70" w:rsidP="00E10B70">
      <w:pPr>
        <w:spacing w:line="360" w:lineRule="auto"/>
        <w:ind w:firstLine="709"/>
        <w:contextualSpacing/>
        <w:jc w:val="both"/>
        <w:rPr>
          <w:i/>
          <w:sz w:val="25"/>
          <w:szCs w:val="25"/>
          <w:lang w:val="es-ES_tradnl" w:eastAsia="ar-SA"/>
        </w:rPr>
      </w:pPr>
      <w:r w:rsidRPr="004E464B">
        <w:rPr>
          <w:bCs/>
          <w:i/>
          <w:sz w:val="25"/>
          <w:szCs w:val="25"/>
          <w:lang w:val="es-ES_tradnl" w:eastAsia="ar-SA"/>
        </w:rPr>
        <w:t>Conjunto de Principios para la Protección de todas las Personas sometidas a cualquier forma de detención o prisión</w:t>
      </w:r>
    </w:p>
    <w:p w:rsidR="00E10B70" w:rsidRPr="004E464B" w:rsidRDefault="00E10B70" w:rsidP="00E10B70">
      <w:pPr>
        <w:spacing w:line="360" w:lineRule="auto"/>
        <w:ind w:firstLine="709"/>
        <w:contextualSpacing/>
        <w:jc w:val="both"/>
        <w:rPr>
          <w:i/>
          <w:sz w:val="25"/>
          <w:szCs w:val="25"/>
          <w:lang w:val="es-ES_tradnl" w:eastAsia="ar-SA"/>
        </w:rPr>
      </w:pPr>
      <w:r w:rsidRPr="004E464B">
        <w:rPr>
          <w:bCs/>
          <w:i/>
          <w:sz w:val="25"/>
          <w:szCs w:val="25"/>
          <w:lang w:val="es-ES_tradnl" w:eastAsia="ar-SA"/>
        </w:rPr>
        <w:t>Convención de las Naciones Unidas contra la Delincuencia Organizada Transnacional</w:t>
      </w:r>
    </w:p>
    <w:p w:rsidR="00E10B70" w:rsidRPr="004E464B" w:rsidRDefault="00E10B70" w:rsidP="00E10B70">
      <w:pPr>
        <w:spacing w:line="360" w:lineRule="auto"/>
        <w:ind w:firstLine="709"/>
        <w:contextualSpacing/>
        <w:jc w:val="both"/>
        <w:rPr>
          <w:i/>
          <w:sz w:val="25"/>
          <w:szCs w:val="25"/>
          <w:lang w:val="es-ES_tradnl" w:eastAsia="ar-SA"/>
        </w:rPr>
      </w:pPr>
      <w:r w:rsidRPr="004E464B">
        <w:rPr>
          <w:bCs/>
          <w:i/>
          <w:sz w:val="25"/>
          <w:szCs w:val="25"/>
          <w:lang w:val="es-ES_tradnl" w:eastAsia="ar-SA"/>
        </w:rPr>
        <w:t>Convenio para la represión de la Trata de Personas y la Explotación de la Prostitución Ajena</w:t>
      </w:r>
    </w:p>
    <w:p w:rsidR="00E10B70" w:rsidRPr="004E464B" w:rsidRDefault="00E10B70" w:rsidP="00E10B70">
      <w:pPr>
        <w:spacing w:line="360" w:lineRule="auto"/>
        <w:ind w:firstLine="709"/>
        <w:contextualSpacing/>
        <w:jc w:val="both"/>
        <w:rPr>
          <w:i/>
          <w:sz w:val="25"/>
          <w:szCs w:val="25"/>
          <w:lang w:val="es-ES_tradnl" w:eastAsia="ar-SA"/>
        </w:rPr>
      </w:pPr>
      <w:r w:rsidRPr="004E464B">
        <w:rPr>
          <w:bCs/>
          <w:i/>
          <w:sz w:val="25"/>
          <w:szCs w:val="25"/>
          <w:lang w:val="es-ES_tradnl" w:eastAsia="ar-SA"/>
        </w:rPr>
        <w:t>Reglas Mandela</w:t>
      </w:r>
    </w:p>
    <w:p w:rsidR="00E10B70" w:rsidRPr="004E464B" w:rsidRDefault="00E10B70" w:rsidP="00E10B70">
      <w:pPr>
        <w:spacing w:line="360" w:lineRule="auto"/>
        <w:ind w:firstLine="709"/>
        <w:contextualSpacing/>
        <w:jc w:val="both"/>
        <w:rPr>
          <w:i/>
          <w:sz w:val="25"/>
          <w:szCs w:val="25"/>
          <w:lang w:val="es-ES_tradnl" w:eastAsia="ar-SA"/>
        </w:rPr>
      </w:pPr>
      <w:r w:rsidRPr="004E464B">
        <w:rPr>
          <w:bCs/>
          <w:i/>
          <w:sz w:val="25"/>
          <w:szCs w:val="25"/>
          <w:lang w:val="es-ES_tradnl" w:eastAsia="ar-SA"/>
        </w:rPr>
        <w:t>Convención sobre los Derechos del Niño</w:t>
      </w:r>
    </w:p>
    <w:p w:rsidR="00E10B70" w:rsidRPr="004E464B" w:rsidRDefault="00E10B70" w:rsidP="00E10B70">
      <w:pPr>
        <w:spacing w:line="360" w:lineRule="auto"/>
        <w:ind w:firstLine="709"/>
        <w:contextualSpacing/>
        <w:jc w:val="both"/>
        <w:rPr>
          <w:i/>
          <w:sz w:val="25"/>
          <w:szCs w:val="25"/>
          <w:lang w:val="es-ES_tradnl" w:eastAsia="ar-SA"/>
        </w:rPr>
      </w:pPr>
      <w:r w:rsidRPr="004E464B">
        <w:rPr>
          <w:bCs/>
          <w:i/>
          <w:sz w:val="25"/>
          <w:szCs w:val="25"/>
          <w:lang w:val="es-ES_tradnl" w:eastAsia="ar-SA"/>
        </w:rPr>
        <w:t>Convención Internacional sobre la Protección Internacional de los Trabajadores Migrantes y de todas sus familias</w:t>
      </w:r>
    </w:p>
    <w:p w:rsidR="00E10B70" w:rsidRPr="004E464B" w:rsidRDefault="00E10B70" w:rsidP="00E10B70">
      <w:pPr>
        <w:spacing w:line="360" w:lineRule="auto"/>
        <w:ind w:firstLine="709"/>
        <w:contextualSpacing/>
        <w:jc w:val="both"/>
        <w:rPr>
          <w:i/>
          <w:sz w:val="25"/>
          <w:szCs w:val="25"/>
          <w:lang w:val="es-ES_tradnl" w:eastAsia="ar-SA"/>
        </w:rPr>
      </w:pPr>
      <w:r w:rsidRPr="004E464B">
        <w:rPr>
          <w:bCs/>
          <w:i/>
          <w:sz w:val="25"/>
          <w:szCs w:val="25"/>
          <w:lang w:val="es-ES_tradnl" w:eastAsia="ar-SA"/>
        </w:rPr>
        <w:t>Principios de Ética Médica aplicables a la función del personal de salud, especialmente los médicos en la protección de personas presas y detenidas contra la tortura y otros tratos o penas crueles, inhumanos o degradantes</w:t>
      </w:r>
    </w:p>
    <w:p w:rsidR="00E10B70" w:rsidRPr="004E464B" w:rsidRDefault="00E10B70" w:rsidP="00E10B70">
      <w:pPr>
        <w:spacing w:line="360" w:lineRule="auto"/>
        <w:ind w:firstLine="709"/>
        <w:contextualSpacing/>
        <w:jc w:val="both"/>
        <w:rPr>
          <w:i/>
          <w:sz w:val="25"/>
          <w:szCs w:val="25"/>
          <w:lang w:val="es-ES_tradnl" w:eastAsia="ar-SA"/>
        </w:rPr>
      </w:pPr>
      <w:r w:rsidRPr="004E464B">
        <w:rPr>
          <w:bCs/>
          <w:i/>
          <w:sz w:val="25"/>
          <w:szCs w:val="25"/>
          <w:lang w:val="es-ES_tradnl" w:eastAsia="ar-SA"/>
        </w:rPr>
        <w:t>Observaciones Generales del Comité de Derechos Humanos de las Naciones Unidas</w:t>
      </w:r>
    </w:p>
    <w:p w:rsidR="00E10B70" w:rsidRPr="004E464B" w:rsidRDefault="00E10B70" w:rsidP="00E10B70">
      <w:pPr>
        <w:spacing w:line="360" w:lineRule="auto"/>
        <w:ind w:firstLine="709"/>
        <w:contextualSpacing/>
        <w:jc w:val="both"/>
        <w:rPr>
          <w:i/>
          <w:sz w:val="25"/>
          <w:szCs w:val="25"/>
          <w:lang w:val="es-ES_tradnl" w:eastAsia="ar-SA"/>
        </w:rPr>
      </w:pPr>
      <w:r w:rsidRPr="004E464B">
        <w:rPr>
          <w:i/>
          <w:iCs/>
          <w:sz w:val="25"/>
          <w:szCs w:val="25"/>
          <w:lang w:val="es-ES_tradnl" w:eastAsia="ar-SA"/>
        </w:rPr>
        <w:t xml:space="preserve">Observación General No. 20: Prohibición de la tortura u otros tratos o penas crueles, inhumanos o degradantes </w:t>
      </w:r>
    </w:p>
    <w:p w:rsidR="00E10B70" w:rsidRPr="004E464B" w:rsidRDefault="00E10B70" w:rsidP="00E10B70">
      <w:pPr>
        <w:spacing w:line="360" w:lineRule="auto"/>
        <w:ind w:firstLine="709"/>
        <w:contextualSpacing/>
        <w:jc w:val="both"/>
        <w:rPr>
          <w:i/>
          <w:iCs/>
          <w:sz w:val="25"/>
          <w:szCs w:val="25"/>
          <w:lang w:val="es-ES_tradnl" w:eastAsia="ar-SA"/>
        </w:rPr>
      </w:pPr>
      <w:r w:rsidRPr="004E464B">
        <w:rPr>
          <w:i/>
          <w:iCs/>
          <w:sz w:val="25"/>
          <w:szCs w:val="25"/>
          <w:lang w:val="es-ES_tradnl" w:eastAsia="ar-SA"/>
        </w:rPr>
        <w:t xml:space="preserve">Observación General No. 21: Trato humano de las personas privadas de libertad </w:t>
      </w:r>
    </w:p>
    <w:p w:rsidR="00E10B70" w:rsidRPr="004E464B" w:rsidRDefault="00E10B70" w:rsidP="00E10B70">
      <w:pPr>
        <w:spacing w:line="360" w:lineRule="auto"/>
        <w:ind w:firstLine="709"/>
        <w:contextualSpacing/>
        <w:jc w:val="both"/>
        <w:rPr>
          <w:i/>
          <w:sz w:val="25"/>
          <w:szCs w:val="25"/>
          <w:lang w:val="es-ES_tradnl" w:eastAsia="ar-SA"/>
        </w:rPr>
      </w:pPr>
      <w:r w:rsidRPr="004E464B">
        <w:rPr>
          <w:bCs/>
          <w:i/>
          <w:sz w:val="25"/>
          <w:szCs w:val="25"/>
          <w:lang w:val="es-ES_tradnl" w:eastAsia="ar-SA"/>
        </w:rPr>
        <w:t>Resolución 21/23 Derechos Humanos de las Personas de Edad</w:t>
      </w:r>
    </w:p>
    <w:p w:rsidR="00E10B70" w:rsidRPr="004E464B" w:rsidRDefault="00E10B70" w:rsidP="00E10B70">
      <w:pPr>
        <w:spacing w:line="360" w:lineRule="auto"/>
        <w:ind w:firstLine="709"/>
        <w:contextualSpacing/>
        <w:jc w:val="both"/>
        <w:rPr>
          <w:i/>
          <w:sz w:val="25"/>
          <w:szCs w:val="25"/>
          <w:lang w:val="es-ES_tradnl" w:eastAsia="ar-SA"/>
        </w:rPr>
      </w:pPr>
      <w:r w:rsidRPr="004E464B">
        <w:rPr>
          <w:bCs/>
          <w:i/>
          <w:sz w:val="25"/>
          <w:szCs w:val="25"/>
          <w:lang w:val="es-ES_tradnl" w:eastAsia="ar-SA"/>
        </w:rPr>
        <w:t xml:space="preserve">Convenio número 169 del Organización Internacional del Trabajo </w:t>
      </w:r>
    </w:p>
    <w:p w:rsidR="00E10B70" w:rsidRPr="004E464B" w:rsidRDefault="00E10B70" w:rsidP="00E10B70">
      <w:pPr>
        <w:spacing w:line="360" w:lineRule="auto"/>
        <w:ind w:firstLine="709"/>
        <w:contextualSpacing/>
        <w:jc w:val="both"/>
        <w:rPr>
          <w:i/>
          <w:sz w:val="25"/>
          <w:szCs w:val="25"/>
          <w:lang w:val="es-ES_tradnl" w:eastAsia="ar-SA"/>
        </w:rPr>
      </w:pPr>
      <w:r w:rsidRPr="004E464B">
        <w:rPr>
          <w:bCs/>
          <w:i/>
          <w:sz w:val="25"/>
          <w:szCs w:val="25"/>
          <w:lang w:val="es-ES_tradnl" w:eastAsia="ar-SA"/>
        </w:rPr>
        <w:t>Principios de Yogyakarta</w:t>
      </w:r>
    </w:p>
    <w:p w:rsidR="00E10B70" w:rsidRPr="004E464B" w:rsidRDefault="00E10B70" w:rsidP="00E10B70">
      <w:pPr>
        <w:spacing w:line="360" w:lineRule="auto"/>
        <w:ind w:firstLine="709"/>
        <w:contextualSpacing/>
        <w:jc w:val="both"/>
        <w:rPr>
          <w:i/>
          <w:sz w:val="25"/>
          <w:szCs w:val="25"/>
          <w:lang w:val="es-ES_tradnl" w:eastAsia="ar-SA"/>
        </w:rPr>
      </w:pPr>
      <w:r w:rsidRPr="004E464B">
        <w:rPr>
          <w:bCs/>
          <w:i/>
          <w:sz w:val="25"/>
          <w:szCs w:val="25"/>
          <w:lang w:val="es-ES_tradnl" w:eastAsia="ar-SA"/>
        </w:rPr>
        <w:t>Convención de los Derechos de las Personas con Discapacidad</w:t>
      </w:r>
    </w:p>
    <w:p w:rsidR="00E10B70" w:rsidRPr="004E464B" w:rsidRDefault="00E10B70" w:rsidP="00E10B70">
      <w:pPr>
        <w:spacing w:line="360" w:lineRule="auto"/>
        <w:ind w:firstLine="709"/>
        <w:contextualSpacing/>
        <w:jc w:val="both"/>
        <w:rPr>
          <w:i/>
          <w:sz w:val="25"/>
          <w:szCs w:val="25"/>
          <w:lang w:val="es-ES_tradnl" w:eastAsia="ar-SA"/>
        </w:rPr>
      </w:pPr>
      <w:r w:rsidRPr="004E464B">
        <w:rPr>
          <w:bCs/>
          <w:i/>
          <w:sz w:val="25"/>
          <w:szCs w:val="25"/>
          <w:lang w:val="es-ES_tradnl" w:eastAsia="ar-SA"/>
        </w:rPr>
        <w:t>Declaración Americana de los Derechos y Deberes del Hombre</w:t>
      </w:r>
    </w:p>
    <w:p w:rsidR="00E10B70" w:rsidRPr="004E464B" w:rsidRDefault="00E10B70" w:rsidP="00E10B70">
      <w:pPr>
        <w:spacing w:line="360" w:lineRule="auto"/>
        <w:ind w:firstLine="709"/>
        <w:contextualSpacing/>
        <w:jc w:val="both"/>
        <w:rPr>
          <w:i/>
          <w:sz w:val="25"/>
          <w:szCs w:val="25"/>
          <w:lang w:val="es-ES_tradnl" w:eastAsia="ar-SA"/>
        </w:rPr>
      </w:pPr>
      <w:r w:rsidRPr="004E464B">
        <w:rPr>
          <w:bCs/>
          <w:i/>
          <w:sz w:val="25"/>
          <w:szCs w:val="25"/>
          <w:lang w:val="es-ES_tradnl" w:eastAsia="ar-SA"/>
        </w:rPr>
        <w:t>Convención Americana sobre Derechos Humanos. Pacto de San José</w:t>
      </w:r>
    </w:p>
    <w:p w:rsidR="00E10B70" w:rsidRPr="004E464B" w:rsidRDefault="00E10B70" w:rsidP="00E10B70">
      <w:pPr>
        <w:spacing w:line="360" w:lineRule="auto"/>
        <w:ind w:firstLine="709"/>
        <w:contextualSpacing/>
        <w:jc w:val="both"/>
        <w:rPr>
          <w:i/>
          <w:sz w:val="25"/>
          <w:szCs w:val="25"/>
          <w:lang w:val="es-ES_tradnl" w:eastAsia="ar-SA"/>
        </w:rPr>
      </w:pPr>
      <w:r w:rsidRPr="004E464B">
        <w:rPr>
          <w:bCs/>
          <w:i/>
          <w:sz w:val="25"/>
          <w:szCs w:val="25"/>
          <w:lang w:val="es-ES_tradnl" w:eastAsia="ar-SA"/>
        </w:rPr>
        <w:t>Convención Interamericana para Prevenir y Sancionar la Tortura</w:t>
      </w:r>
    </w:p>
    <w:p w:rsidR="00E10B70" w:rsidRPr="004E464B" w:rsidRDefault="00E10B70" w:rsidP="00E10B70">
      <w:pPr>
        <w:spacing w:line="360" w:lineRule="auto"/>
        <w:ind w:firstLine="709"/>
        <w:contextualSpacing/>
        <w:jc w:val="both"/>
        <w:rPr>
          <w:i/>
          <w:sz w:val="25"/>
          <w:szCs w:val="25"/>
          <w:lang w:val="es-ES_tradnl" w:eastAsia="ar-SA"/>
        </w:rPr>
      </w:pPr>
      <w:r w:rsidRPr="004E464B">
        <w:rPr>
          <w:bCs/>
          <w:i/>
          <w:sz w:val="25"/>
          <w:szCs w:val="25"/>
          <w:lang w:val="es-ES_tradnl" w:eastAsia="ar-SA"/>
        </w:rPr>
        <w:t xml:space="preserve">OEA. Principios y Buenas Prácticas sobre la Protección de las Personas </w:t>
      </w:r>
      <w:r w:rsidRPr="004E464B">
        <w:rPr>
          <w:bCs/>
          <w:i/>
          <w:sz w:val="25"/>
          <w:szCs w:val="25"/>
          <w:lang w:val="es-ES_tradnl" w:eastAsia="ar-SA"/>
        </w:rPr>
        <w:lastRenderedPageBreak/>
        <w:t>Privadas de Libertad en las Américas</w:t>
      </w:r>
    </w:p>
    <w:p w:rsidR="00E10B70" w:rsidRPr="004E464B" w:rsidRDefault="00E10B70" w:rsidP="00E10B70">
      <w:pPr>
        <w:spacing w:line="360" w:lineRule="auto"/>
        <w:ind w:firstLine="709"/>
        <w:contextualSpacing/>
        <w:jc w:val="both"/>
        <w:rPr>
          <w:i/>
          <w:sz w:val="25"/>
          <w:szCs w:val="25"/>
          <w:lang w:val="es-ES_tradnl" w:eastAsia="ar-SA"/>
        </w:rPr>
      </w:pPr>
      <w:r w:rsidRPr="004E464B">
        <w:rPr>
          <w:bCs/>
          <w:i/>
          <w:sz w:val="25"/>
          <w:szCs w:val="25"/>
          <w:lang w:val="es-ES_tradnl" w:eastAsia="ar-SA"/>
        </w:rPr>
        <w:t>Reglas de Brasilia sobre Acceso a la Justicia de las Personas en condición de Vulnerabilidad</w:t>
      </w:r>
    </w:p>
    <w:p w:rsidR="00E10B70" w:rsidRPr="004E464B" w:rsidRDefault="00E10B70" w:rsidP="00E10B70">
      <w:pPr>
        <w:spacing w:line="360" w:lineRule="auto"/>
        <w:ind w:firstLine="709"/>
        <w:contextualSpacing/>
        <w:jc w:val="both"/>
        <w:rPr>
          <w:i/>
          <w:sz w:val="25"/>
          <w:szCs w:val="25"/>
          <w:lang w:val="es-ES_tradnl" w:eastAsia="ar-SA"/>
        </w:rPr>
      </w:pPr>
      <w:r w:rsidRPr="004E464B">
        <w:rPr>
          <w:bCs/>
          <w:i/>
          <w:sz w:val="25"/>
          <w:szCs w:val="25"/>
          <w:lang w:val="es-ES_tradnl" w:eastAsia="ar-SA"/>
        </w:rPr>
        <w:t>Principios de Ética Médica aplicables a la función del personal de salud, especialmente los médicos en la protección de personas presas y detenidas contra la tortura y otros tratos o penas crueles, inhumanos o degradantes</w:t>
      </w:r>
    </w:p>
    <w:p w:rsidR="00E10B70" w:rsidRPr="004E464B" w:rsidRDefault="00E10B70" w:rsidP="00E10B70">
      <w:pPr>
        <w:spacing w:line="360" w:lineRule="auto"/>
        <w:ind w:firstLine="709"/>
        <w:contextualSpacing/>
        <w:jc w:val="both"/>
        <w:rPr>
          <w:i/>
          <w:sz w:val="25"/>
          <w:szCs w:val="25"/>
          <w:lang w:val="es-ES_tradnl" w:eastAsia="ar-SA"/>
        </w:rPr>
      </w:pPr>
      <w:r w:rsidRPr="004E464B">
        <w:rPr>
          <w:bCs/>
          <w:i/>
          <w:sz w:val="25"/>
          <w:szCs w:val="25"/>
          <w:lang w:val="es-ES_tradnl" w:eastAsia="ar-SA"/>
        </w:rPr>
        <w:t>Convención Interamericana para Prevenir y Sancionar la Violencia contra la Mujer (Belem do Pará)</w:t>
      </w:r>
    </w:p>
    <w:p w:rsidR="00E10B70" w:rsidRPr="004E464B" w:rsidRDefault="00E10B70" w:rsidP="00E10B70">
      <w:pPr>
        <w:spacing w:line="360" w:lineRule="auto"/>
        <w:ind w:firstLine="709"/>
        <w:contextualSpacing/>
        <w:jc w:val="both"/>
        <w:rPr>
          <w:i/>
          <w:sz w:val="25"/>
          <w:szCs w:val="25"/>
          <w:lang w:val="es-ES_tradnl" w:eastAsia="ar-SA"/>
        </w:rPr>
      </w:pPr>
      <w:r w:rsidRPr="004E464B">
        <w:rPr>
          <w:bCs/>
          <w:i/>
          <w:sz w:val="25"/>
          <w:szCs w:val="25"/>
          <w:lang w:val="es-ES_tradnl" w:eastAsia="ar-SA"/>
        </w:rPr>
        <w:t>Resolución 1/08 de la Comisión Interamericana de Derechos Humanos: Principios y Buenas prácticas sobre la protección de las personas privadas de libertad en las Américas</w:t>
      </w:r>
    </w:p>
    <w:p w:rsidR="00E10B70" w:rsidRPr="004E464B" w:rsidRDefault="00E10B70" w:rsidP="00E10B70">
      <w:pPr>
        <w:spacing w:line="360" w:lineRule="auto"/>
        <w:ind w:firstLine="709"/>
        <w:contextualSpacing/>
        <w:jc w:val="both"/>
        <w:rPr>
          <w:bCs/>
          <w:i/>
          <w:sz w:val="25"/>
          <w:szCs w:val="25"/>
          <w:lang w:val="es-ES_tradnl" w:eastAsia="ar-SA"/>
        </w:rPr>
      </w:pPr>
      <w:r w:rsidRPr="004E464B">
        <w:rPr>
          <w:bCs/>
          <w:i/>
          <w:sz w:val="25"/>
          <w:szCs w:val="25"/>
          <w:lang w:val="es-ES_tradnl" w:eastAsia="ar-SA"/>
        </w:rPr>
        <w:t>Convención Interamericana contra toda forma de Discriminación e Intolerancia</w:t>
      </w:r>
    </w:p>
    <w:p w:rsidR="00E10B70" w:rsidRPr="004E464B" w:rsidRDefault="00E10B70" w:rsidP="00E10B70">
      <w:pPr>
        <w:spacing w:line="360" w:lineRule="auto"/>
        <w:ind w:firstLine="709"/>
        <w:contextualSpacing/>
        <w:jc w:val="both"/>
        <w:rPr>
          <w:bCs/>
          <w:i/>
          <w:sz w:val="25"/>
          <w:szCs w:val="25"/>
          <w:lang w:val="es-ES_tradnl" w:eastAsia="ar-SA"/>
        </w:rPr>
      </w:pPr>
      <w:r w:rsidRPr="004E464B">
        <w:rPr>
          <w:bCs/>
          <w:i/>
          <w:sz w:val="25"/>
          <w:szCs w:val="25"/>
          <w:lang w:val="es-ES_tradnl" w:eastAsia="ar-SA"/>
        </w:rPr>
        <w:t xml:space="preserve">Convención Interamericana contra el Racismo, la Discriminación Racial y formas conexas de intolerancia </w:t>
      </w:r>
    </w:p>
    <w:p w:rsidR="00E10B70" w:rsidRPr="004E464B" w:rsidRDefault="00E10B70" w:rsidP="00E10B70">
      <w:pPr>
        <w:spacing w:line="360" w:lineRule="auto"/>
        <w:ind w:firstLine="709"/>
        <w:contextualSpacing/>
        <w:jc w:val="both"/>
        <w:rPr>
          <w:i/>
          <w:sz w:val="25"/>
          <w:szCs w:val="25"/>
          <w:lang w:val="es-ES_tradnl" w:eastAsia="ar-SA"/>
        </w:rPr>
      </w:pPr>
      <w:r w:rsidRPr="004E464B">
        <w:rPr>
          <w:bCs/>
          <w:i/>
          <w:sz w:val="25"/>
          <w:szCs w:val="25"/>
          <w:lang w:val="es-ES_tradnl" w:eastAsia="ar-SA"/>
        </w:rPr>
        <w:t>Convención Interamericana para la Eliminación de todas las formas de Discriminación de las personas   con Discapacidad</w:t>
      </w:r>
    </w:p>
    <w:p w:rsidR="00E10B70" w:rsidRPr="004E464B" w:rsidRDefault="00E10B70" w:rsidP="00E10B70">
      <w:pPr>
        <w:spacing w:line="360" w:lineRule="auto"/>
        <w:ind w:firstLine="709"/>
        <w:contextualSpacing/>
        <w:jc w:val="both"/>
        <w:rPr>
          <w:i/>
          <w:sz w:val="25"/>
          <w:szCs w:val="25"/>
          <w:lang w:val="es-ES_tradnl" w:eastAsia="ar-SA"/>
        </w:rPr>
      </w:pPr>
      <w:r w:rsidRPr="004E464B">
        <w:rPr>
          <w:bCs/>
          <w:i/>
          <w:sz w:val="25"/>
          <w:szCs w:val="25"/>
          <w:lang w:val="es-ES_tradnl" w:eastAsia="ar-SA"/>
        </w:rPr>
        <w:t>Convención Interamericana sobre la Protección de los Derechos Humanos de las personas Adultas Mayores</w:t>
      </w:r>
    </w:p>
    <w:p w:rsidR="00E10B70" w:rsidRPr="004E464B" w:rsidRDefault="00E10B70" w:rsidP="00E10B70">
      <w:pPr>
        <w:spacing w:line="360" w:lineRule="auto"/>
        <w:ind w:firstLine="709"/>
        <w:contextualSpacing/>
        <w:jc w:val="both"/>
        <w:rPr>
          <w:i/>
          <w:sz w:val="25"/>
          <w:szCs w:val="25"/>
          <w:lang w:val="es-ES_tradnl" w:eastAsia="ar-SA"/>
        </w:rPr>
      </w:pPr>
      <w:r w:rsidRPr="004E464B">
        <w:rPr>
          <w:bCs/>
          <w:i/>
          <w:sz w:val="25"/>
          <w:szCs w:val="25"/>
          <w:lang w:val="es-ES_tradnl" w:eastAsia="ar-SA"/>
        </w:rPr>
        <w:t>Declaración Americana sobre los Derechos de los Pueblos Indígenas AG/RES. 2888 (XLVI-O/16)</w:t>
      </w:r>
    </w:p>
    <w:p w:rsidR="00E10B70" w:rsidRPr="004E464B" w:rsidRDefault="00E10B70" w:rsidP="00E10B70">
      <w:pPr>
        <w:spacing w:line="360" w:lineRule="auto"/>
        <w:ind w:firstLine="709"/>
        <w:contextualSpacing/>
        <w:jc w:val="both"/>
        <w:rPr>
          <w:i/>
          <w:sz w:val="25"/>
          <w:szCs w:val="25"/>
          <w:lang w:val="es-ES_tradnl" w:eastAsia="ar-SA"/>
        </w:rPr>
      </w:pPr>
      <w:r w:rsidRPr="004E464B">
        <w:rPr>
          <w:bCs/>
          <w:i/>
          <w:sz w:val="25"/>
          <w:szCs w:val="25"/>
          <w:lang w:val="es-ES_tradnl" w:eastAsia="ar-SA"/>
        </w:rPr>
        <w:t>Declaración Conjunta de los miembros fundadores del grupo de apoyo LGTBI y la OEA, 15 de junio de 2016</w:t>
      </w:r>
    </w:p>
    <w:p w:rsidR="00E10B70" w:rsidRPr="004E464B" w:rsidRDefault="00E10B70" w:rsidP="00E10B70">
      <w:pPr>
        <w:spacing w:line="360" w:lineRule="auto"/>
        <w:ind w:firstLine="709"/>
        <w:contextualSpacing/>
        <w:jc w:val="both"/>
        <w:rPr>
          <w:bCs/>
          <w:i/>
          <w:sz w:val="25"/>
          <w:szCs w:val="25"/>
          <w:lang w:val="es-ES_tradnl" w:eastAsia="ar-SA"/>
        </w:rPr>
      </w:pPr>
      <w:r w:rsidRPr="004E464B">
        <w:rPr>
          <w:bCs/>
          <w:i/>
          <w:sz w:val="25"/>
          <w:szCs w:val="25"/>
          <w:lang w:val="es-ES_tradnl" w:eastAsia="ar-SA"/>
        </w:rPr>
        <w:t>Asamblea General de la OEA AG/RES.2435 (XXXVIII-O/08), AG/RES. 2504 (XXXIX-O/09),   AG/RES. 2600 (XL-O/10), AG/RES. 2653 (XLI-O/11), AG/RES.2721 (XLII-O/12), AG/RES. 2807 (XLIII-O/13), y AG/RES. 2863 (XLIVO/14), “Derechos Humanos, orientación sexual, identidad y expresión de género”.</w:t>
      </w:r>
    </w:p>
    <w:p w:rsidR="00E10B70" w:rsidRPr="004E464B" w:rsidRDefault="00E10B70" w:rsidP="00E10B70">
      <w:pPr>
        <w:spacing w:line="360" w:lineRule="auto"/>
        <w:ind w:firstLine="709"/>
        <w:contextualSpacing/>
        <w:jc w:val="both"/>
        <w:rPr>
          <w:rFonts w:eastAsia="Calibri"/>
          <w:b/>
          <w:i/>
          <w:sz w:val="25"/>
          <w:szCs w:val="25"/>
          <w:u w:val="single"/>
          <w:lang w:val="es-ES_tradnl" w:eastAsia="ar-SA"/>
        </w:rPr>
      </w:pPr>
      <w:r w:rsidRPr="004E464B">
        <w:rPr>
          <w:rFonts w:eastAsia="Calibri"/>
          <w:b/>
          <w:i/>
          <w:sz w:val="25"/>
          <w:szCs w:val="25"/>
          <w:u w:val="single"/>
          <w:lang w:val="es-ES_tradnl" w:eastAsia="ar-SA"/>
        </w:rPr>
        <w:t>11.- Instrumentos Internacionales de Derechos Humanos de carácter general</w:t>
      </w:r>
    </w:p>
    <w:p w:rsidR="00E10B70" w:rsidRPr="004E464B" w:rsidRDefault="00E10B70" w:rsidP="00E10B70">
      <w:pPr>
        <w:spacing w:line="360" w:lineRule="auto"/>
        <w:ind w:firstLine="709"/>
        <w:contextualSpacing/>
        <w:jc w:val="both"/>
        <w:rPr>
          <w:rFonts w:eastAsia="Calibri"/>
          <w:i/>
          <w:sz w:val="25"/>
          <w:szCs w:val="25"/>
          <w:lang w:val="es-ES_tradnl" w:eastAsia="ar-SA"/>
        </w:rPr>
      </w:pPr>
      <w:r w:rsidRPr="004E464B">
        <w:rPr>
          <w:rFonts w:eastAsia="Calibri"/>
          <w:i/>
          <w:sz w:val="25"/>
          <w:szCs w:val="25"/>
          <w:lang w:val="es-ES_tradnl" w:eastAsia="ar-SA"/>
        </w:rPr>
        <w:lastRenderedPageBreak/>
        <w:t>Las Cien Reglas de Brasilia sobre el acceso a la justicia de las personas en condición de vulnerabilidad de la XIV Cumbre Judicial Iberoamericana</w:t>
      </w:r>
    </w:p>
    <w:p w:rsidR="00E10B70" w:rsidRPr="004E464B" w:rsidRDefault="00E10B70" w:rsidP="00E10B70">
      <w:pPr>
        <w:spacing w:line="360" w:lineRule="auto"/>
        <w:ind w:firstLine="709"/>
        <w:contextualSpacing/>
        <w:jc w:val="both"/>
        <w:rPr>
          <w:i/>
          <w:sz w:val="25"/>
          <w:szCs w:val="25"/>
          <w:lang w:val="es-ES_tradnl" w:eastAsia="ar-SA"/>
        </w:rPr>
      </w:pPr>
      <w:r w:rsidRPr="004E464B">
        <w:rPr>
          <w:bCs/>
          <w:i/>
          <w:sz w:val="25"/>
          <w:szCs w:val="25"/>
          <w:lang w:val="es-ES_tradnl" w:eastAsia="ar-SA"/>
        </w:rPr>
        <w:t>Declaración Universal de Derechos Humanos</w:t>
      </w:r>
    </w:p>
    <w:p w:rsidR="00E10B70" w:rsidRPr="004E464B" w:rsidRDefault="00E10B70" w:rsidP="00E10B70">
      <w:pPr>
        <w:spacing w:line="360" w:lineRule="auto"/>
        <w:ind w:firstLine="709"/>
        <w:contextualSpacing/>
        <w:jc w:val="both"/>
        <w:rPr>
          <w:bCs/>
          <w:i/>
          <w:sz w:val="25"/>
          <w:szCs w:val="25"/>
          <w:lang w:val="es-ES_tradnl" w:eastAsia="ar-SA"/>
        </w:rPr>
      </w:pPr>
      <w:r w:rsidRPr="004E464B">
        <w:rPr>
          <w:bCs/>
          <w:i/>
          <w:sz w:val="25"/>
          <w:szCs w:val="25"/>
          <w:lang w:val="es-ES_tradnl" w:eastAsia="ar-SA"/>
        </w:rPr>
        <w:t>Pacto Internacional de Derechos Económicos, Sociales y Culturales</w:t>
      </w:r>
    </w:p>
    <w:p w:rsidR="00E10B70" w:rsidRPr="004E464B" w:rsidRDefault="00E10B70" w:rsidP="00E10B70">
      <w:pPr>
        <w:spacing w:line="360" w:lineRule="auto"/>
        <w:ind w:firstLine="709"/>
        <w:contextualSpacing/>
        <w:jc w:val="both"/>
        <w:rPr>
          <w:bCs/>
          <w:i/>
          <w:sz w:val="25"/>
          <w:szCs w:val="25"/>
          <w:lang w:val="es-ES_tradnl" w:eastAsia="ar-SA"/>
        </w:rPr>
      </w:pPr>
      <w:r w:rsidRPr="004E464B">
        <w:rPr>
          <w:bCs/>
          <w:i/>
          <w:sz w:val="25"/>
          <w:szCs w:val="25"/>
          <w:lang w:val="es-ES_tradnl" w:eastAsia="ar-SA"/>
        </w:rPr>
        <w:t>Pacto Internacional de Derechos Civiles y Políticos</w:t>
      </w:r>
    </w:p>
    <w:p w:rsidR="00E10B70" w:rsidRPr="004E464B" w:rsidRDefault="00E10B70" w:rsidP="00E10B70">
      <w:pPr>
        <w:spacing w:line="360" w:lineRule="auto"/>
        <w:ind w:firstLine="709"/>
        <w:contextualSpacing/>
        <w:jc w:val="both"/>
        <w:rPr>
          <w:bCs/>
          <w:i/>
          <w:sz w:val="25"/>
          <w:szCs w:val="25"/>
          <w:lang w:val="es-ES_tradnl" w:eastAsia="ar-SA"/>
        </w:rPr>
      </w:pPr>
      <w:r w:rsidRPr="004E464B">
        <w:rPr>
          <w:bCs/>
          <w:i/>
          <w:sz w:val="25"/>
          <w:szCs w:val="25"/>
          <w:lang w:val="es-ES_tradnl" w:eastAsia="ar-SA"/>
        </w:rPr>
        <w:t>Protocolo Facultativo del Pacto Internacional de Derechos Civiles y Políticos</w:t>
      </w:r>
    </w:p>
    <w:p w:rsidR="00E10B70" w:rsidRPr="004E464B" w:rsidRDefault="00E10B70" w:rsidP="00E10B70">
      <w:pPr>
        <w:spacing w:line="360" w:lineRule="auto"/>
        <w:ind w:firstLine="709"/>
        <w:contextualSpacing/>
        <w:jc w:val="both"/>
        <w:rPr>
          <w:bCs/>
          <w:i/>
          <w:sz w:val="25"/>
          <w:szCs w:val="25"/>
          <w:lang w:val="es-ES_tradnl" w:eastAsia="ar-SA"/>
        </w:rPr>
      </w:pPr>
      <w:r w:rsidRPr="004E464B">
        <w:rPr>
          <w:bCs/>
          <w:i/>
          <w:sz w:val="25"/>
          <w:szCs w:val="25"/>
          <w:lang w:val="es-ES_tradnl" w:eastAsia="ar-SA"/>
        </w:rPr>
        <w:t>Segundo Protocolo Facultativo del Pacto Internacional de Derechos Civiles y Políticos destinado a abolir la pena de muerte</w:t>
      </w:r>
    </w:p>
    <w:p w:rsidR="00E10B70" w:rsidRPr="004E464B" w:rsidRDefault="00E10B70" w:rsidP="00E10B70">
      <w:pPr>
        <w:spacing w:line="360" w:lineRule="auto"/>
        <w:ind w:firstLine="709"/>
        <w:contextualSpacing/>
        <w:jc w:val="both"/>
        <w:rPr>
          <w:bCs/>
          <w:i/>
          <w:sz w:val="25"/>
          <w:szCs w:val="25"/>
          <w:lang w:val="es-ES_tradnl" w:eastAsia="ar-SA"/>
        </w:rPr>
      </w:pPr>
      <w:r w:rsidRPr="004E464B">
        <w:rPr>
          <w:bCs/>
          <w:i/>
          <w:sz w:val="25"/>
          <w:szCs w:val="25"/>
          <w:lang w:val="es-ES_tradnl" w:eastAsia="ar-SA"/>
        </w:rPr>
        <w:t>Los anteriores compromisos internacionales se enuncian recordando tanto que los derechos humanos son inherentes a las personas, interdependientes, indivisibles, irrenunciables, universales, progresivos y que, en su implementación, deberán las autoridades públicas tomar en cuenta lo dicho al respecto por los órganos internacionales que realicen la interpretación autorizada de dichas normas, siempre procurando que los servicios brindados tutelen de la manera más garante los derechos fundamentales.</w:t>
      </w:r>
    </w:p>
    <w:p w:rsidR="00E10B70" w:rsidRPr="004E464B" w:rsidRDefault="00E10B70" w:rsidP="00E10B70">
      <w:pPr>
        <w:spacing w:before="100" w:beforeAutospacing="1" w:after="100" w:afterAutospacing="1" w:line="360" w:lineRule="auto"/>
        <w:jc w:val="both"/>
        <w:rPr>
          <w:sz w:val="25"/>
          <w:szCs w:val="25"/>
          <w:lang w:val="es-ES_tradnl"/>
        </w:rPr>
      </w:pPr>
      <w:r w:rsidRPr="004E464B">
        <w:rPr>
          <w:b/>
          <w:bCs/>
          <w:sz w:val="25"/>
          <w:szCs w:val="25"/>
          <w:lang w:val="es-ES_tradnl"/>
        </w:rPr>
        <w:t xml:space="preserve">San José, </w:t>
      </w:r>
      <w:r w:rsidR="001866BF">
        <w:rPr>
          <w:b/>
          <w:bCs/>
          <w:sz w:val="25"/>
          <w:szCs w:val="25"/>
          <w:lang w:val="es-ES_tradnl"/>
        </w:rPr>
        <w:t>16</w:t>
      </w:r>
      <w:r w:rsidRPr="004E464B">
        <w:rPr>
          <w:b/>
          <w:bCs/>
          <w:sz w:val="25"/>
          <w:szCs w:val="25"/>
          <w:lang w:val="es-ES_tradnl"/>
        </w:rPr>
        <w:t xml:space="preserve"> de mayo de 2019</w:t>
      </w:r>
    </w:p>
    <w:p w:rsidR="00E10B70" w:rsidRPr="004E464B" w:rsidRDefault="00E10B70" w:rsidP="00E10B70">
      <w:pPr>
        <w:spacing w:before="100" w:beforeAutospacing="1" w:after="100" w:afterAutospacing="1"/>
        <w:jc w:val="center"/>
        <w:rPr>
          <w:sz w:val="25"/>
          <w:szCs w:val="25"/>
          <w:lang w:val="es-ES_tradnl"/>
        </w:rPr>
      </w:pPr>
    </w:p>
    <w:p w:rsidR="00E10B70" w:rsidRPr="004E464B" w:rsidRDefault="00E10B70" w:rsidP="00E10B70">
      <w:pPr>
        <w:spacing w:before="100" w:beforeAutospacing="1" w:after="100" w:afterAutospacing="1"/>
        <w:jc w:val="center"/>
        <w:rPr>
          <w:sz w:val="25"/>
          <w:szCs w:val="25"/>
          <w:lang w:val="es-ES_tradnl"/>
        </w:rPr>
      </w:pPr>
    </w:p>
    <w:p w:rsidR="00E10B70" w:rsidRPr="004E464B" w:rsidRDefault="00E10B70" w:rsidP="00E10B70">
      <w:pPr>
        <w:ind w:firstLine="567"/>
        <w:jc w:val="center"/>
        <w:rPr>
          <w:b/>
          <w:bCs/>
          <w:sz w:val="25"/>
          <w:szCs w:val="25"/>
          <w:lang w:val="es-ES_tradnl" w:eastAsia="ar-SA"/>
        </w:rPr>
      </w:pPr>
      <w:r w:rsidRPr="004E464B">
        <w:rPr>
          <w:b/>
          <w:bCs/>
          <w:sz w:val="25"/>
          <w:szCs w:val="25"/>
          <w:lang w:val="es-ES_tradnl" w:eastAsia="ar-SA"/>
        </w:rPr>
        <w:t>Lic. Carlos T. Mora Rodríguez</w:t>
      </w:r>
    </w:p>
    <w:p w:rsidR="00E10B70" w:rsidRPr="004E464B" w:rsidRDefault="00E10B70" w:rsidP="00E10B70">
      <w:pPr>
        <w:ind w:firstLine="567"/>
        <w:jc w:val="center"/>
        <w:rPr>
          <w:b/>
          <w:bCs/>
          <w:sz w:val="25"/>
          <w:szCs w:val="25"/>
          <w:lang w:val="es-ES_tradnl" w:eastAsia="ar-SA"/>
        </w:rPr>
      </w:pPr>
      <w:r w:rsidRPr="004E464B">
        <w:rPr>
          <w:b/>
          <w:bCs/>
          <w:sz w:val="25"/>
          <w:szCs w:val="25"/>
          <w:lang w:val="es-ES_tradnl" w:eastAsia="ar-SA"/>
        </w:rPr>
        <w:t>Subsecretario General interino</w:t>
      </w:r>
    </w:p>
    <w:p w:rsidR="00E10B70" w:rsidRPr="004E464B" w:rsidRDefault="00E10B70" w:rsidP="00E10B70">
      <w:pPr>
        <w:ind w:firstLine="567"/>
        <w:jc w:val="center"/>
        <w:rPr>
          <w:b/>
          <w:bCs/>
          <w:sz w:val="25"/>
          <w:szCs w:val="25"/>
          <w:lang w:val="es-ES_tradnl" w:eastAsia="ar-SA"/>
        </w:rPr>
      </w:pPr>
      <w:r w:rsidRPr="004E464B">
        <w:rPr>
          <w:b/>
          <w:bCs/>
          <w:sz w:val="25"/>
          <w:szCs w:val="25"/>
          <w:lang w:val="es-ES_tradnl" w:eastAsia="ar-SA"/>
        </w:rPr>
        <w:t>Corte Suprema de Justicia</w:t>
      </w:r>
    </w:p>
    <w:p w:rsidR="00E10B70" w:rsidRPr="004E464B" w:rsidRDefault="00E10B70" w:rsidP="00E10B70">
      <w:pPr>
        <w:spacing w:before="100" w:beforeAutospacing="1" w:after="100" w:afterAutospacing="1"/>
        <w:jc w:val="center"/>
        <w:rPr>
          <w:sz w:val="25"/>
          <w:szCs w:val="25"/>
          <w:lang w:val="es-ES_tradnl"/>
        </w:rPr>
      </w:pPr>
    </w:p>
    <w:p w:rsidR="00E10B70" w:rsidRPr="004E464B" w:rsidRDefault="00E10B70" w:rsidP="00E10B70">
      <w:pPr>
        <w:ind w:left="142" w:right="141"/>
        <w:rPr>
          <w:i/>
          <w:sz w:val="25"/>
          <w:szCs w:val="25"/>
          <w:lang w:val="es-ES_tradnl" w:eastAsia="ar-SA"/>
        </w:rPr>
      </w:pPr>
      <w:r w:rsidRPr="004E464B">
        <w:rPr>
          <w:i/>
          <w:sz w:val="25"/>
          <w:szCs w:val="25"/>
          <w:lang w:val="es-ES_tradnl" w:eastAsia="ar-SA"/>
        </w:rPr>
        <w:t>Ref.:. 10754-16,4781-19</w:t>
      </w:r>
    </w:p>
    <w:p w:rsidR="00E10B70" w:rsidRPr="004E464B" w:rsidRDefault="00E10B70" w:rsidP="00E10B70">
      <w:pPr>
        <w:ind w:left="142" w:right="141"/>
        <w:rPr>
          <w:i/>
          <w:sz w:val="25"/>
          <w:szCs w:val="25"/>
          <w:lang w:val="es-ES_tradnl" w:eastAsia="ar-SA"/>
        </w:rPr>
      </w:pPr>
      <w:r w:rsidRPr="004E464B">
        <w:rPr>
          <w:i/>
          <w:sz w:val="25"/>
          <w:szCs w:val="25"/>
          <w:lang w:val="es-ES_tradnl" w:eastAsia="ar-SA"/>
        </w:rPr>
        <w:t xml:space="preserve">Rafael Rodríguez Jiménez </w:t>
      </w:r>
    </w:p>
    <w:p w:rsidR="00E10B70" w:rsidRPr="004E464B" w:rsidRDefault="00E10B70" w:rsidP="00E10B70">
      <w:pPr>
        <w:rPr>
          <w:i/>
          <w:sz w:val="25"/>
          <w:szCs w:val="25"/>
          <w:lang w:val="es-ES_tradnl" w:eastAsia="ar-SA"/>
        </w:rPr>
      </w:pPr>
    </w:p>
    <w:p w:rsidR="009B274D" w:rsidRPr="004E464B" w:rsidRDefault="009B274D" w:rsidP="002D24AE">
      <w:pPr>
        <w:pStyle w:val="NormalWeb"/>
        <w:spacing w:before="0" w:after="0"/>
        <w:ind w:left="142" w:right="141"/>
        <w:rPr>
          <w:i/>
          <w:sz w:val="25"/>
          <w:szCs w:val="25"/>
          <w:lang w:val="es-ES"/>
        </w:rPr>
      </w:pPr>
    </w:p>
    <w:sectPr w:rsidR="009B274D" w:rsidRPr="004E464B" w:rsidSect="00B804DF">
      <w:headerReference w:type="default" r:id="rId7"/>
      <w:footnotePr>
        <w:pos w:val="beneathText"/>
      </w:footnotePr>
      <w:pgSz w:w="12240" w:h="15840"/>
      <w:pgMar w:top="2268" w:right="1750" w:bottom="1276" w:left="1701" w:header="709"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74687" w:rsidRDefault="00E74687">
      <w:r>
        <w:separator/>
      </w:r>
    </w:p>
  </w:endnote>
  <w:endnote w:type="continuationSeparator" w:id="1">
    <w:p w:rsidR="00E74687" w:rsidRDefault="00E74687">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Verdana">
    <w:altName w:val="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Helvetica Neue">
    <w:altName w:val="Times New Roman"/>
    <w:charset w:val="00"/>
    <w:family w:val="roman"/>
    <w:pitch w:val="default"/>
    <w:sig w:usb0="00000000" w:usb1="00000000" w:usb2="00000000" w:usb3="00000000" w:csb0="00000000"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74687" w:rsidRDefault="00E74687">
      <w:r>
        <w:separator/>
      </w:r>
    </w:p>
  </w:footnote>
  <w:footnote w:type="continuationSeparator" w:id="1">
    <w:p w:rsidR="00E74687" w:rsidRDefault="00E7468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4CFE" w:rsidRDefault="00031DF4">
    <w:pPr>
      <w:pStyle w:val="Encabezado"/>
      <w:tabs>
        <w:tab w:val="clear" w:pos="4986"/>
        <w:tab w:val="clear" w:pos="9972"/>
        <w:tab w:val="left" w:pos="709"/>
        <w:tab w:val="center" w:pos="4419"/>
        <w:tab w:val="right" w:pos="8838"/>
      </w:tabs>
    </w:pPr>
    <w:r>
      <w:rPr>
        <w:noProof/>
      </w:rPr>
      <w:pict>
        <v:shapetype id="_x0000_t202" coordsize="21600,21600" o:spt="202" path="m,l,21600r21600,l21600,xe">
          <v:stroke joinstyle="miter"/>
          <v:path gradientshapeok="t" o:connecttype="rect"/>
        </v:shapetype>
        <v:shape id="Text Box 1" o:spid="_x0000_s6145" type="#_x0000_t202" style="position:absolute;margin-left:0;margin-top:-.55pt;width:52.2pt;height:58.7pt;z-index:-251658752;visibility:visible;mso-wrap-distance-left:9.05pt;mso-wrap-distance-righ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" stroked="f">
          <v:textbox inset="0,0,0,0">
            <w:txbxContent>
              <w:p w:rsidR="00D44CFE" w:rsidRDefault="00E10B70">
                <w:r>
                  <w:rPr>
                    <w:noProof/>
                    <w:lang w:eastAsia="es-ES"/>
                  </w:rPr>
                  <w:drawing>
                    <wp:inline distT="0" distB="0" distL="0" distR="0">
                      <wp:extent cx="676275" cy="763905"/>
                      <wp:effectExtent l="0" t="0" r="0" b="0"/>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76275" cy="763905"/>
                              </a:xfrm>
                              <a:prstGeom prst="rect">
                                <a:avLst/>
                              </a:prstGeom>
                              <a:solidFill>
                                <a:srgbClr val="FFFFFF"/>
                              </a:solidFill>
                              <a:ln>
                                <a:noFill/>
                              </a:ln>
                            </pic:spPr>
                          </pic:pic>
                        </a:graphicData>
                      </a:graphic>
                    </wp:inline>
                  </w:drawing>
                </w:r>
              </w:p>
            </w:txbxContent>
          </v:textbox>
        </v:shape>
      </w:pict>
    </w:r>
  </w:p>
  <w:p w:rsidR="00D44CFE" w:rsidRDefault="00D44CFE">
    <w:pPr>
      <w:pStyle w:val="Encabezado"/>
      <w:tabs>
        <w:tab w:val="clear" w:pos="4986"/>
        <w:tab w:val="clear" w:pos="9972"/>
        <w:tab w:val="left" w:pos="709"/>
        <w:tab w:val="center" w:pos="4419"/>
        <w:tab w:val="right" w:pos="8838"/>
      </w:tabs>
      <w:rPr>
        <w:b/>
        <w:i/>
        <w:lang w:val="es-CR"/>
      </w:rPr>
    </w:pPr>
    <w:r>
      <w:rPr>
        <w:b/>
        <w:i/>
        <w:lang w:val="es-CR"/>
      </w:rPr>
      <w:t>Corte Suprema de Justicia</w:t>
    </w:r>
  </w:p>
  <w:p w:rsidR="00D44CFE" w:rsidRDefault="00D44CFE">
    <w:pPr>
      <w:rPr>
        <w:b/>
        <w:bCs/>
        <w:i/>
        <w:iCs/>
      </w:rPr>
    </w:pPr>
    <w:r>
      <w:rPr>
        <w:b/>
        <w:bCs/>
        <w:i/>
        <w:iCs/>
      </w:rPr>
      <w:t xml:space="preserve">                           Secretaría General</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4F16FC"/>
    <w:multiLevelType w:val="multilevel"/>
    <w:tmpl w:val="0136D90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541724E"/>
    <w:multiLevelType w:val="hybridMultilevel"/>
    <w:tmpl w:val="D0422C76"/>
    <w:lvl w:ilvl="0" w:tplc="FFFFFFFF">
      <w:start w:val="1"/>
      <w:numFmt w:val="bullet"/>
      <w:lvlText w:val=""/>
      <w:lvlJc w:val="left"/>
      <w:pPr>
        <w:tabs>
          <w:tab w:val="num" w:pos="720"/>
        </w:tabs>
        <w:ind w:left="720" w:hanging="360"/>
      </w:pPr>
      <w:rPr>
        <w:rFonts w:ascii="Wingdings" w:hAnsi="Wingdings"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
    <w:nsid w:val="2E3F7358"/>
    <w:multiLevelType w:val="hybridMultilevel"/>
    <w:tmpl w:val="8C9A7284"/>
    <w:lvl w:ilvl="0" w:tplc="0C0A0001">
      <w:start w:val="1"/>
      <w:numFmt w:val="bullet"/>
      <w:lvlText w:val=""/>
      <w:lvlJc w:val="left"/>
      <w:pPr>
        <w:tabs>
          <w:tab w:val="num" w:pos="720"/>
        </w:tabs>
        <w:ind w:left="72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3">
    <w:nsid w:val="41C26B6C"/>
    <w:multiLevelType w:val="multilevel"/>
    <w:tmpl w:val="C9903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43111F63"/>
    <w:multiLevelType w:val="multilevel"/>
    <w:tmpl w:val="81204C1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3"/>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stylePaneFormatFilter w:val="3F01"/>
  <w:defaultTabStop w:val="709"/>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9218"/>
    <o:shapelayout v:ext="edit">
      <o:idmap v:ext="edit" data="6"/>
    </o:shapelayout>
  </w:hdrShapeDefaults>
  <w:footnotePr>
    <w:pos w:val="beneathText"/>
    <w:footnote w:id="0"/>
    <w:footnote w:id="1"/>
  </w:footnotePr>
  <w:endnotePr>
    <w:endnote w:id="0"/>
    <w:endnote w:id="1"/>
  </w:endnotePr>
  <w:compat>
    <w:spaceForUL/>
    <w:balanceSingleByteDoubleByteWidth/>
    <w:doNotLeaveBackslashAlone/>
    <w:ulTrailSpace/>
    <w:doNotExpandShiftReturn/>
    <w:adjustLineHeightInTable/>
    <w:doNotUseHTMLParagraphAutoSpacing/>
  </w:compat>
  <w:rsids>
    <w:rsidRoot w:val="009009F1"/>
    <w:rsid w:val="00005DBB"/>
    <w:rsid w:val="00010D3D"/>
    <w:rsid w:val="00023975"/>
    <w:rsid w:val="00031DF4"/>
    <w:rsid w:val="000405C8"/>
    <w:rsid w:val="00042CBB"/>
    <w:rsid w:val="00045081"/>
    <w:rsid w:val="00047416"/>
    <w:rsid w:val="00047F88"/>
    <w:rsid w:val="00064E7C"/>
    <w:rsid w:val="000702C6"/>
    <w:rsid w:val="0007249A"/>
    <w:rsid w:val="000913E8"/>
    <w:rsid w:val="0009588A"/>
    <w:rsid w:val="000A240D"/>
    <w:rsid w:val="000A3D6A"/>
    <w:rsid w:val="000B174C"/>
    <w:rsid w:val="000B628E"/>
    <w:rsid w:val="000C1E97"/>
    <w:rsid w:val="000C4BB9"/>
    <w:rsid w:val="000C7EEA"/>
    <w:rsid w:val="000E11E3"/>
    <w:rsid w:val="000E70A7"/>
    <w:rsid w:val="000F1BD9"/>
    <w:rsid w:val="000F55FD"/>
    <w:rsid w:val="0013147D"/>
    <w:rsid w:val="00136BD6"/>
    <w:rsid w:val="00146DF3"/>
    <w:rsid w:val="001479B9"/>
    <w:rsid w:val="00157B3C"/>
    <w:rsid w:val="00162DE0"/>
    <w:rsid w:val="0016722E"/>
    <w:rsid w:val="00167459"/>
    <w:rsid w:val="00167DC6"/>
    <w:rsid w:val="0018089D"/>
    <w:rsid w:val="001839FC"/>
    <w:rsid w:val="001866BF"/>
    <w:rsid w:val="0018797B"/>
    <w:rsid w:val="00190C63"/>
    <w:rsid w:val="001A52C9"/>
    <w:rsid w:val="001B1476"/>
    <w:rsid w:val="001C044B"/>
    <w:rsid w:val="001D2DC4"/>
    <w:rsid w:val="001D7814"/>
    <w:rsid w:val="001E26DA"/>
    <w:rsid w:val="001E4215"/>
    <w:rsid w:val="001E657B"/>
    <w:rsid w:val="001F1B22"/>
    <w:rsid w:val="00204912"/>
    <w:rsid w:val="002131FA"/>
    <w:rsid w:val="00214880"/>
    <w:rsid w:val="00224481"/>
    <w:rsid w:val="002359A4"/>
    <w:rsid w:val="002404AE"/>
    <w:rsid w:val="0024558D"/>
    <w:rsid w:val="00246CE0"/>
    <w:rsid w:val="002538FF"/>
    <w:rsid w:val="00254CF0"/>
    <w:rsid w:val="0025527E"/>
    <w:rsid w:val="002634A2"/>
    <w:rsid w:val="00263914"/>
    <w:rsid w:val="00277268"/>
    <w:rsid w:val="00281F04"/>
    <w:rsid w:val="002825D7"/>
    <w:rsid w:val="002853F4"/>
    <w:rsid w:val="002857DD"/>
    <w:rsid w:val="00287534"/>
    <w:rsid w:val="0029023D"/>
    <w:rsid w:val="00291407"/>
    <w:rsid w:val="0029304A"/>
    <w:rsid w:val="002930C2"/>
    <w:rsid w:val="002A3B0D"/>
    <w:rsid w:val="002A5B52"/>
    <w:rsid w:val="002B0955"/>
    <w:rsid w:val="002B2838"/>
    <w:rsid w:val="002B4CE4"/>
    <w:rsid w:val="002C23C5"/>
    <w:rsid w:val="002C4203"/>
    <w:rsid w:val="002C7C70"/>
    <w:rsid w:val="002D24AE"/>
    <w:rsid w:val="002E2530"/>
    <w:rsid w:val="002F288C"/>
    <w:rsid w:val="002F63B8"/>
    <w:rsid w:val="002F7A6A"/>
    <w:rsid w:val="00301ADF"/>
    <w:rsid w:val="00302877"/>
    <w:rsid w:val="00307884"/>
    <w:rsid w:val="003079AF"/>
    <w:rsid w:val="00311386"/>
    <w:rsid w:val="00315EC7"/>
    <w:rsid w:val="0032088B"/>
    <w:rsid w:val="00322B4B"/>
    <w:rsid w:val="00334B72"/>
    <w:rsid w:val="00341C02"/>
    <w:rsid w:val="0034244E"/>
    <w:rsid w:val="0034279E"/>
    <w:rsid w:val="00343803"/>
    <w:rsid w:val="0034790C"/>
    <w:rsid w:val="003559C4"/>
    <w:rsid w:val="003644B6"/>
    <w:rsid w:val="003678B3"/>
    <w:rsid w:val="00372F0E"/>
    <w:rsid w:val="0037610C"/>
    <w:rsid w:val="003769AA"/>
    <w:rsid w:val="003817E2"/>
    <w:rsid w:val="00392B19"/>
    <w:rsid w:val="003964FD"/>
    <w:rsid w:val="003A1DC8"/>
    <w:rsid w:val="003A4EA7"/>
    <w:rsid w:val="003B60FC"/>
    <w:rsid w:val="003C11EF"/>
    <w:rsid w:val="003C6AC0"/>
    <w:rsid w:val="003C7AD1"/>
    <w:rsid w:val="003D1FC1"/>
    <w:rsid w:val="003E0092"/>
    <w:rsid w:val="003E7067"/>
    <w:rsid w:val="003F24BA"/>
    <w:rsid w:val="003F725D"/>
    <w:rsid w:val="004000A6"/>
    <w:rsid w:val="00406BD2"/>
    <w:rsid w:val="00410E73"/>
    <w:rsid w:val="00411622"/>
    <w:rsid w:val="004157BB"/>
    <w:rsid w:val="0041588F"/>
    <w:rsid w:val="00416D48"/>
    <w:rsid w:val="00422531"/>
    <w:rsid w:val="00427CBC"/>
    <w:rsid w:val="004354E5"/>
    <w:rsid w:val="00440FC5"/>
    <w:rsid w:val="00446CE8"/>
    <w:rsid w:val="00454E25"/>
    <w:rsid w:val="004605BC"/>
    <w:rsid w:val="0046689F"/>
    <w:rsid w:val="00475AD4"/>
    <w:rsid w:val="004808D5"/>
    <w:rsid w:val="00484772"/>
    <w:rsid w:val="00487330"/>
    <w:rsid w:val="00490AAE"/>
    <w:rsid w:val="00493DA0"/>
    <w:rsid w:val="00497DB8"/>
    <w:rsid w:val="004A3088"/>
    <w:rsid w:val="004A512C"/>
    <w:rsid w:val="004B2A9B"/>
    <w:rsid w:val="004B6DC3"/>
    <w:rsid w:val="004C3481"/>
    <w:rsid w:val="004C416D"/>
    <w:rsid w:val="004D2E3D"/>
    <w:rsid w:val="004E41E6"/>
    <w:rsid w:val="004E464B"/>
    <w:rsid w:val="004E73A7"/>
    <w:rsid w:val="004F00CB"/>
    <w:rsid w:val="004F31AA"/>
    <w:rsid w:val="00500CE7"/>
    <w:rsid w:val="005034C4"/>
    <w:rsid w:val="0050359B"/>
    <w:rsid w:val="0051662F"/>
    <w:rsid w:val="00517047"/>
    <w:rsid w:val="005233DA"/>
    <w:rsid w:val="00523C17"/>
    <w:rsid w:val="00526B11"/>
    <w:rsid w:val="0052701A"/>
    <w:rsid w:val="00537936"/>
    <w:rsid w:val="00543B67"/>
    <w:rsid w:val="00566F6F"/>
    <w:rsid w:val="005703F6"/>
    <w:rsid w:val="00575E27"/>
    <w:rsid w:val="00577ED0"/>
    <w:rsid w:val="005C1252"/>
    <w:rsid w:val="005C21C7"/>
    <w:rsid w:val="005C48B3"/>
    <w:rsid w:val="005D18BA"/>
    <w:rsid w:val="005E4728"/>
    <w:rsid w:val="006029C0"/>
    <w:rsid w:val="00606B75"/>
    <w:rsid w:val="00615084"/>
    <w:rsid w:val="00630712"/>
    <w:rsid w:val="00635892"/>
    <w:rsid w:val="00635A1D"/>
    <w:rsid w:val="006411F3"/>
    <w:rsid w:val="006424E9"/>
    <w:rsid w:val="0064477F"/>
    <w:rsid w:val="006478C2"/>
    <w:rsid w:val="0065178F"/>
    <w:rsid w:val="00654AAF"/>
    <w:rsid w:val="006576FF"/>
    <w:rsid w:val="00661104"/>
    <w:rsid w:val="0066360A"/>
    <w:rsid w:val="00664025"/>
    <w:rsid w:val="006716E5"/>
    <w:rsid w:val="00672C36"/>
    <w:rsid w:val="006750EE"/>
    <w:rsid w:val="00686172"/>
    <w:rsid w:val="006870DD"/>
    <w:rsid w:val="0069455D"/>
    <w:rsid w:val="00695EA1"/>
    <w:rsid w:val="00697398"/>
    <w:rsid w:val="006A1B90"/>
    <w:rsid w:val="006A6CE9"/>
    <w:rsid w:val="006B01ED"/>
    <w:rsid w:val="006B7178"/>
    <w:rsid w:val="006C641F"/>
    <w:rsid w:val="006D0A32"/>
    <w:rsid w:val="006E2656"/>
    <w:rsid w:val="006E4124"/>
    <w:rsid w:val="006F0D7A"/>
    <w:rsid w:val="006F5497"/>
    <w:rsid w:val="00707F47"/>
    <w:rsid w:val="00713E76"/>
    <w:rsid w:val="00737B25"/>
    <w:rsid w:val="007410CF"/>
    <w:rsid w:val="00755E40"/>
    <w:rsid w:val="00770362"/>
    <w:rsid w:val="00770F38"/>
    <w:rsid w:val="0079188F"/>
    <w:rsid w:val="007926AA"/>
    <w:rsid w:val="00794664"/>
    <w:rsid w:val="00796182"/>
    <w:rsid w:val="00796D94"/>
    <w:rsid w:val="007A32F0"/>
    <w:rsid w:val="007A5005"/>
    <w:rsid w:val="007B0465"/>
    <w:rsid w:val="007C0446"/>
    <w:rsid w:val="007C13A5"/>
    <w:rsid w:val="007C170A"/>
    <w:rsid w:val="007E7A1B"/>
    <w:rsid w:val="007F3661"/>
    <w:rsid w:val="007F3A1D"/>
    <w:rsid w:val="007F79C4"/>
    <w:rsid w:val="00800C0A"/>
    <w:rsid w:val="00801122"/>
    <w:rsid w:val="008043AE"/>
    <w:rsid w:val="008055DA"/>
    <w:rsid w:val="008112CA"/>
    <w:rsid w:val="00817BB3"/>
    <w:rsid w:val="00822F53"/>
    <w:rsid w:val="00830831"/>
    <w:rsid w:val="0083109E"/>
    <w:rsid w:val="008314B3"/>
    <w:rsid w:val="00831EF9"/>
    <w:rsid w:val="008328D2"/>
    <w:rsid w:val="00850BDA"/>
    <w:rsid w:val="0085577A"/>
    <w:rsid w:val="008606F3"/>
    <w:rsid w:val="008641DA"/>
    <w:rsid w:val="0086607B"/>
    <w:rsid w:val="0087675D"/>
    <w:rsid w:val="00881E6E"/>
    <w:rsid w:val="00884220"/>
    <w:rsid w:val="008932BA"/>
    <w:rsid w:val="00895FE6"/>
    <w:rsid w:val="008A040C"/>
    <w:rsid w:val="008A5E64"/>
    <w:rsid w:val="008A7FD2"/>
    <w:rsid w:val="008B114C"/>
    <w:rsid w:val="008B4517"/>
    <w:rsid w:val="008C0A78"/>
    <w:rsid w:val="008C0CBA"/>
    <w:rsid w:val="008C18FE"/>
    <w:rsid w:val="008C1985"/>
    <w:rsid w:val="008C7D91"/>
    <w:rsid w:val="008D3421"/>
    <w:rsid w:val="008D71C8"/>
    <w:rsid w:val="008E26BC"/>
    <w:rsid w:val="009009F1"/>
    <w:rsid w:val="00902078"/>
    <w:rsid w:val="009023B3"/>
    <w:rsid w:val="00903D06"/>
    <w:rsid w:val="00906619"/>
    <w:rsid w:val="009366A3"/>
    <w:rsid w:val="0094130E"/>
    <w:rsid w:val="0094541C"/>
    <w:rsid w:val="00945F8B"/>
    <w:rsid w:val="009473F8"/>
    <w:rsid w:val="00950A29"/>
    <w:rsid w:val="00951B80"/>
    <w:rsid w:val="00954017"/>
    <w:rsid w:val="0095524D"/>
    <w:rsid w:val="009556A5"/>
    <w:rsid w:val="00956815"/>
    <w:rsid w:val="00971DA1"/>
    <w:rsid w:val="00973CD9"/>
    <w:rsid w:val="00986931"/>
    <w:rsid w:val="00996707"/>
    <w:rsid w:val="009A1496"/>
    <w:rsid w:val="009A2732"/>
    <w:rsid w:val="009A7D03"/>
    <w:rsid w:val="009B2055"/>
    <w:rsid w:val="009B274D"/>
    <w:rsid w:val="009B341D"/>
    <w:rsid w:val="009C29C0"/>
    <w:rsid w:val="009C2A42"/>
    <w:rsid w:val="009C6D64"/>
    <w:rsid w:val="009E017C"/>
    <w:rsid w:val="009E413D"/>
    <w:rsid w:val="009F1689"/>
    <w:rsid w:val="009F1A66"/>
    <w:rsid w:val="00A060C1"/>
    <w:rsid w:val="00A0685D"/>
    <w:rsid w:val="00A13436"/>
    <w:rsid w:val="00A22DAD"/>
    <w:rsid w:val="00A2675A"/>
    <w:rsid w:val="00A31149"/>
    <w:rsid w:val="00A36F22"/>
    <w:rsid w:val="00A37C7E"/>
    <w:rsid w:val="00A37CA8"/>
    <w:rsid w:val="00A41CDD"/>
    <w:rsid w:val="00A42198"/>
    <w:rsid w:val="00A5270C"/>
    <w:rsid w:val="00A74E71"/>
    <w:rsid w:val="00A82F3A"/>
    <w:rsid w:val="00A92502"/>
    <w:rsid w:val="00A92BAD"/>
    <w:rsid w:val="00A9321A"/>
    <w:rsid w:val="00A963C3"/>
    <w:rsid w:val="00AA2F43"/>
    <w:rsid w:val="00AA3C6B"/>
    <w:rsid w:val="00AA42E2"/>
    <w:rsid w:val="00AA6E6D"/>
    <w:rsid w:val="00AB0593"/>
    <w:rsid w:val="00AB66FF"/>
    <w:rsid w:val="00AD1340"/>
    <w:rsid w:val="00AD17FF"/>
    <w:rsid w:val="00AD54B7"/>
    <w:rsid w:val="00AE0411"/>
    <w:rsid w:val="00AE6A38"/>
    <w:rsid w:val="00AF1148"/>
    <w:rsid w:val="00AF3C2E"/>
    <w:rsid w:val="00B0260F"/>
    <w:rsid w:val="00B1647F"/>
    <w:rsid w:val="00B24B22"/>
    <w:rsid w:val="00B31225"/>
    <w:rsid w:val="00B323B3"/>
    <w:rsid w:val="00B33076"/>
    <w:rsid w:val="00B56713"/>
    <w:rsid w:val="00B56F9E"/>
    <w:rsid w:val="00B61A0B"/>
    <w:rsid w:val="00B760FB"/>
    <w:rsid w:val="00B77009"/>
    <w:rsid w:val="00B804DF"/>
    <w:rsid w:val="00B86100"/>
    <w:rsid w:val="00B924F9"/>
    <w:rsid w:val="00B92DE4"/>
    <w:rsid w:val="00B96AE2"/>
    <w:rsid w:val="00BA7FAF"/>
    <w:rsid w:val="00BB045C"/>
    <w:rsid w:val="00BB6EEA"/>
    <w:rsid w:val="00BC10FB"/>
    <w:rsid w:val="00BC1D92"/>
    <w:rsid w:val="00BC2CE7"/>
    <w:rsid w:val="00BD0CCD"/>
    <w:rsid w:val="00BD0DB2"/>
    <w:rsid w:val="00BD603F"/>
    <w:rsid w:val="00BD6846"/>
    <w:rsid w:val="00BE4438"/>
    <w:rsid w:val="00BE4F86"/>
    <w:rsid w:val="00BE718A"/>
    <w:rsid w:val="00BF1B43"/>
    <w:rsid w:val="00BF37D6"/>
    <w:rsid w:val="00BF4A12"/>
    <w:rsid w:val="00C072BF"/>
    <w:rsid w:val="00C10890"/>
    <w:rsid w:val="00C10914"/>
    <w:rsid w:val="00C11CF4"/>
    <w:rsid w:val="00C30FCB"/>
    <w:rsid w:val="00C33748"/>
    <w:rsid w:val="00C34914"/>
    <w:rsid w:val="00C43097"/>
    <w:rsid w:val="00C4674C"/>
    <w:rsid w:val="00C51A93"/>
    <w:rsid w:val="00C61DD9"/>
    <w:rsid w:val="00C62509"/>
    <w:rsid w:val="00C6690D"/>
    <w:rsid w:val="00C66C8B"/>
    <w:rsid w:val="00C706F4"/>
    <w:rsid w:val="00C72375"/>
    <w:rsid w:val="00C76769"/>
    <w:rsid w:val="00C82F5E"/>
    <w:rsid w:val="00C87428"/>
    <w:rsid w:val="00C95ED3"/>
    <w:rsid w:val="00C9760B"/>
    <w:rsid w:val="00CA6548"/>
    <w:rsid w:val="00CB2E85"/>
    <w:rsid w:val="00CC069C"/>
    <w:rsid w:val="00CE2E60"/>
    <w:rsid w:val="00CE564D"/>
    <w:rsid w:val="00CF5C21"/>
    <w:rsid w:val="00D00380"/>
    <w:rsid w:val="00D0229A"/>
    <w:rsid w:val="00D03F35"/>
    <w:rsid w:val="00D112B6"/>
    <w:rsid w:val="00D21239"/>
    <w:rsid w:val="00D22DBE"/>
    <w:rsid w:val="00D23AAB"/>
    <w:rsid w:val="00D26196"/>
    <w:rsid w:val="00D266E5"/>
    <w:rsid w:val="00D31DF7"/>
    <w:rsid w:val="00D34694"/>
    <w:rsid w:val="00D36003"/>
    <w:rsid w:val="00D36B56"/>
    <w:rsid w:val="00D36D90"/>
    <w:rsid w:val="00D44CFE"/>
    <w:rsid w:val="00D55542"/>
    <w:rsid w:val="00D57316"/>
    <w:rsid w:val="00D6066D"/>
    <w:rsid w:val="00D62D5E"/>
    <w:rsid w:val="00D63D2B"/>
    <w:rsid w:val="00D659E4"/>
    <w:rsid w:val="00D76CBB"/>
    <w:rsid w:val="00D802F6"/>
    <w:rsid w:val="00D80966"/>
    <w:rsid w:val="00D82870"/>
    <w:rsid w:val="00D82BD1"/>
    <w:rsid w:val="00D87B00"/>
    <w:rsid w:val="00D94569"/>
    <w:rsid w:val="00D94E2D"/>
    <w:rsid w:val="00DA1418"/>
    <w:rsid w:val="00DA4AF7"/>
    <w:rsid w:val="00DA5344"/>
    <w:rsid w:val="00DD2501"/>
    <w:rsid w:val="00DE20C0"/>
    <w:rsid w:val="00DF2C8F"/>
    <w:rsid w:val="00E0020F"/>
    <w:rsid w:val="00E05E44"/>
    <w:rsid w:val="00E10B70"/>
    <w:rsid w:val="00E17BED"/>
    <w:rsid w:val="00E26C37"/>
    <w:rsid w:val="00E405F2"/>
    <w:rsid w:val="00E51021"/>
    <w:rsid w:val="00E57928"/>
    <w:rsid w:val="00E638DA"/>
    <w:rsid w:val="00E74687"/>
    <w:rsid w:val="00E76B03"/>
    <w:rsid w:val="00E86963"/>
    <w:rsid w:val="00E90BC5"/>
    <w:rsid w:val="00EA48CB"/>
    <w:rsid w:val="00EA5E4A"/>
    <w:rsid w:val="00EC2982"/>
    <w:rsid w:val="00ED0EB6"/>
    <w:rsid w:val="00ED7692"/>
    <w:rsid w:val="00EE1747"/>
    <w:rsid w:val="00EE4937"/>
    <w:rsid w:val="00EE6DD9"/>
    <w:rsid w:val="00EF6272"/>
    <w:rsid w:val="00F01A7E"/>
    <w:rsid w:val="00F04EB6"/>
    <w:rsid w:val="00F05A62"/>
    <w:rsid w:val="00F136A6"/>
    <w:rsid w:val="00F1380F"/>
    <w:rsid w:val="00F24300"/>
    <w:rsid w:val="00F250C3"/>
    <w:rsid w:val="00F25932"/>
    <w:rsid w:val="00F370C6"/>
    <w:rsid w:val="00F42F63"/>
    <w:rsid w:val="00F46E7C"/>
    <w:rsid w:val="00F60D84"/>
    <w:rsid w:val="00F67287"/>
    <w:rsid w:val="00F679AA"/>
    <w:rsid w:val="00F7626C"/>
    <w:rsid w:val="00F769CA"/>
    <w:rsid w:val="00F83E99"/>
    <w:rsid w:val="00F84EB4"/>
    <w:rsid w:val="00F915D9"/>
    <w:rsid w:val="00F95382"/>
    <w:rsid w:val="00FA2208"/>
    <w:rsid w:val="00FA2E40"/>
    <w:rsid w:val="00FC1143"/>
    <w:rsid w:val="00FD6425"/>
    <w:rsid w:val="00FF239E"/>
    <w:rsid w:val="00FF49DF"/>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CR" w:eastAsia="es-C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26B11"/>
    <w:pPr>
      <w:widowControl w:val="0"/>
      <w:suppressAutoHyphens/>
    </w:pPr>
    <w:rPr>
      <w:rFonts w:eastAsia="Arial Unicode MS"/>
      <w:kern w:val="1"/>
      <w:sz w:val="24"/>
      <w:szCs w:val="24"/>
      <w:lang w:val="es-ES"/>
    </w:rPr>
  </w:style>
  <w:style w:type="paragraph" w:styleId="Ttulo1">
    <w:name w:val="heading 1"/>
    <w:basedOn w:val="Normal"/>
    <w:next w:val="Normal"/>
    <w:qFormat/>
    <w:rsid w:val="007A32F0"/>
    <w:pPr>
      <w:keepNext/>
      <w:spacing w:before="240" w:after="60"/>
      <w:outlineLvl w:val="0"/>
    </w:pPr>
    <w:rPr>
      <w:rFonts w:ascii="Arial" w:hAnsi="Arial" w:cs="Arial"/>
      <w:b/>
      <w:bCs/>
      <w:kern w:val="32"/>
      <w:sz w:val="32"/>
      <w:szCs w:val="32"/>
    </w:rPr>
  </w:style>
  <w:style w:type="paragraph" w:styleId="Ttulo2">
    <w:name w:val="heading 2"/>
    <w:basedOn w:val="Normal"/>
    <w:next w:val="Normal"/>
    <w:qFormat/>
    <w:rsid w:val="007A32F0"/>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AB0593"/>
    <w:pPr>
      <w:widowControl/>
      <w:suppressAutoHyphens w:val="0"/>
      <w:autoSpaceDE w:val="0"/>
      <w:autoSpaceDN w:val="0"/>
      <w:adjustRightInd w:val="0"/>
      <w:outlineLvl w:val="2"/>
    </w:pPr>
    <w:rPr>
      <w:rFonts w:eastAsia="Times New Roman"/>
      <w:kern w:val="0"/>
      <w:lang w:eastAsia="es-ES"/>
    </w:rPr>
  </w:style>
  <w:style w:type="paragraph" w:styleId="Ttulo4">
    <w:name w:val="heading 4"/>
    <w:basedOn w:val="Normal"/>
    <w:next w:val="Normal"/>
    <w:qFormat/>
    <w:rsid w:val="007A32F0"/>
    <w:pPr>
      <w:keepNext/>
      <w:spacing w:before="240" w:after="60"/>
      <w:outlineLvl w:val="3"/>
    </w:pPr>
    <w:rPr>
      <w:b/>
      <w:bCs/>
      <w:sz w:val="28"/>
      <w:szCs w:val="28"/>
    </w:rPr>
  </w:style>
  <w:style w:type="paragraph" w:styleId="Ttulo5">
    <w:name w:val="heading 5"/>
    <w:basedOn w:val="Normal"/>
    <w:next w:val="Normal"/>
    <w:qFormat/>
    <w:rsid w:val="007A32F0"/>
    <w:pPr>
      <w:spacing w:before="240" w:after="60"/>
      <w:outlineLvl w:val="4"/>
    </w:pPr>
    <w:rPr>
      <w:b/>
      <w:bCs/>
      <w:i/>
      <w:iCs/>
      <w:sz w:val="26"/>
      <w:szCs w:val="26"/>
    </w:rPr>
  </w:style>
  <w:style w:type="paragraph" w:styleId="Ttulo7">
    <w:name w:val="heading 7"/>
    <w:basedOn w:val="Normal"/>
    <w:next w:val="Normal"/>
    <w:qFormat/>
    <w:rsid w:val="00796D94"/>
    <w:pPr>
      <w:spacing w:before="240" w:after="60"/>
      <w:outlineLvl w:val="6"/>
    </w:pPr>
  </w:style>
  <w:style w:type="paragraph" w:styleId="Ttulo8">
    <w:name w:val="heading 8"/>
    <w:basedOn w:val="Normal"/>
    <w:next w:val="Normal"/>
    <w:qFormat/>
    <w:rsid w:val="007A32F0"/>
    <w:pPr>
      <w:spacing w:before="240" w:after="60"/>
      <w:outlineLvl w:val="7"/>
    </w:pPr>
    <w:rPr>
      <w:i/>
      <w:i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Absatz-Standardschriftart">
    <w:name w:val="Absatz-Standardschriftart"/>
    <w:rsid w:val="00526B11"/>
  </w:style>
  <w:style w:type="character" w:customStyle="1" w:styleId="WW-Absatz-Standardschriftart">
    <w:name w:val="WW-Absatz-Standardschriftart"/>
    <w:rsid w:val="00526B11"/>
  </w:style>
  <w:style w:type="character" w:customStyle="1" w:styleId="WW-Absatz-Standardschriftart1">
    <w:name w:val="WW-Absatz-Standardschriftart1"/>
    <w:rsid w:val="00526B11"/>
  </w:style>
  <w:style w:type="character" w:customStyle="1" w:styleId="Fuentedeprrafopredeter2">
    <w:name w:val="Fuente de párrafo predeter.2"/>
    <w:rsid w:val="00526B11"/>
  </w:style>
  <w:style w:type="character" w:customStyle="1" w:styleId="WW-Absatz-Standardschriftart11">
    <w:name w:val="WW-Absatz-Standardschriftart11"/>
    <w:rsid w:val="00526B11"/>
  </w:style>
  <w:style w:type="character" w:customStyle="1" w:styleId="Fuentedeprrafopredeter1">
    <w:name w:val="Fuente de párrafo predeter.1"/>
    <w:rsid w:val="00526B11"/>
  </w:style>
  <w:style w:type="character" w:styleId="Hipervnculo">
    <w:name w:val="Hyperlink"/>
    <w:basedOn w:val="Fuentedeprrafopredeter1"/>
    <w:rsid w:val="00526B11"/>
    <w:rPr>
      <w:color w:val="0000FF"/>
      <w:u w:val="single"/>
    </w:rPr>
  </w:style>
  <w:style w:type="paragraph" w:customStyle="1" w:styleId="Encabezado2">
    <w:name w:val="Encabezado2"/>
    <w:basedOn w:val="Normal"/>
    <w:next w:val="Textoindependiente"/>
    <w:rsid w:val="00526B11"/>
    <w:pPr>
      <w:keepNext/>
      <w:spacing w:before="240" w:after="120"/>
    </w:pPr>
    <w:rPr>
      <w:rFonts w:ascii="Arial" w:hAnsi="Arial" w:cs="Tahoma"/>
      <w:sz w:val="28"/>
      <w:szCs w:val="28"/>
    </w:rPr>
  </w:style>
  <w:style w:type="paragraph" w:styleId="Textoindependiente">
    <w:name w:val="Body Text"/>
    <w:basedOn w:val="Normal"/>
    <w:rsid w:val="00526B11"/>
    <w:pPr>
      <w:spacing w:after="120"/>
    </w:pPr>
  </w:style>
  <w:style w:type="paragraph" w:styleId="Lista">
    <w:name w:val="List"/>
    <w:basedOn w:val="Textoindependiente"/>
    <w:rsid w:val="00526B11"/>
    <w:rPr>
      <w:rFonts w:cs="Tahoma"/>
    </w:rPr>
  </w:style>
  <w:style w:type="paragraph" w:customStyle="1" w:styleId="Etiqueta">
    <w:name w:val="Etiqueta"/>
    <w:basedOn w:val="Normal"/>
    <w:rsid w:val="00526B11"/>
    <w:pPr>
      <w:suppressLineNumbers/>
      <w:spacing w:before="120" w:after="120"/>
    </w:pPr>
    <w:rPr>
      <w:rFonts w:cs="Tahoma"/>
      <w:i/>
      <w:iCs/>
    </w:rPr>
  </w:style>
  <w:style w:type="paragraph" w:customStyle="1" w:styleId="ndice">
    <w:name w:val="Índice"/>
    <w:basedOn w:val="Normal"/>
    <w:rsid w:val="00526B11"/>
    <w:pPr>
      <w:suppressLineNumbers/>
    </w:pPr>
    <w:rPr>
      <w:rFonts w:cs="Tahoma"/>
    </w:rPr>
  </w:style>
  <w:style w:type="paragraph" w:customStyle="1" w:styleId="Encabezado1">
    <w:name w:val="Encabezado1"/>
    <w:basedOn w:val="Normal"/>
    <w:next w:val="Textoindependiente"/>
    <w:rsid w:val="00526B11"/>
    <w:pPr>
      <w:keepNext/>
      <w:spacing w:before="240" w:after="120"/>
    </w:pPr>
    <w:rPr>
      <w:rFonts w:ascii="Arial" w:hAnsi="Arial" w:cs="Tahoma"/>
      <w:sz w:val="28"/>
      <w:szCs w:val="28"/>
    </w:rPr>
  </w:style>
  <w:style w:type="paragraph" w:styleId="NormalWeb">
    <w:name w:val="Normal (Web)"/>
    <w:basedOn w:val="Normal"/>
    <w:rsid w:val="00526B11"/>
    <w:pPr>
      <w:spacing w:before="100" w:after="100"/>
    </w:pPr>
    <w:rPr>
      <w:lang w:val="es-ES_tradnl"/>
    </w:rPr>
  </w:style>
  <w:style w:type="paragraph" w:styleId="Ttulo">
    <w:name w:val="Title"/>
    <w:basedOn w:val="Normal"/>
    <w:next w:val="Subttulo"/>
    <w:qFormat/>
    <w:rsid w:val="00526B11"/>
    <w:pPr>
      <w:tabs>
        <w:tab w:val="center" w:pos="4680"/>
      </w:tabs>
      <w:jc w:val="center"/>
    </w:pPr>
    <w:rPr>
      <w:b/>
      <w:spacing w:val="-3"/>
      <w:u w:val="single"/>
    </w:rPr>
  </w:style>
  <w:style w:type="paragraph" w:styleId="Subttulo">
    <w:name w:val="Subtitle"/>
    <w:basedOn w:val="Encabezado1"/>
    <w:next w:val="Textoindependiente"/>
    <w:qFormat/>
    <w:rsid w:val="00526B11"/>
    <w:pPr>
      <w:jc w:val="center"/>
    </w:pPr>
    <w:rPr>
      <w:i/>
      <w:iCs/>
    </w:rPr>
  </w:style>
  <w:style w:type="paragraph" w:styleId="Encabezado">
    <w:name w:val="header"/>
    <w:basedOn w:val="Normal"/>
    <w:rsid w:val="00526B11"/>
    <w:pPr>
      <w:suppressLineNumbers/>
      <w:tabs>
        <w:tab w:val="center" w:pos="4986"/>
        <w:tab w:val="right" w:pos="9972"/>
      </w:tabs>
    </w:pPr>
  </w:style>
  <w:style w:type="paragraph" w:customStyle="1" w:styleId="Contenidodelmarco">
    <w:name w:val="Contenido del marco"/>
    <w:basedOn w:val="Textoindependiente"/>
    <w:rsid w:val="00526B11"/>
  </w:style>
  <w:style w:type="paragraph" w:customStyle="1" w:styleId="Car">
    <w:name w:val="Car"/>
    <w:basedOn w:val="Normal"/>
    <w:rsid w:val="00526B11"/>
    <w:pPr>
      <w:widowControl/>
      <w:suppressAutoHyphens w:val="0"/>
      <w:spacing w:after="160" w:line="240" w:lineRule="exact"/>
    </w:pPr>
    <w:rPr>
      <w:rFonts w:ascii="Verdana" w:eastAsia="Times New Roman" w:hAnsi="Verdana"/>
      <w:sz w:val="20"/>
      <w:szCs w:val="21"/>
      <w:lang w:val="en-AU"/>
    </w:rPr>
  </w:style>
  <w:style w:type="paragraph" w:customStyle="1" w:styleId="Contenidodelatabla">
    <w:name w:val="Contenido de la tabla"/>
    <w:basedOn w:val="Normal"/>
    <w:rsid w:val="00526B11"/>
    <w:pPr>
      <w:suppressLineNumbers/>
    </w:pPr>
  </w:style>
  <w:style w:type="paragraph" w:customStyle="1" w:styleId="Encabezadodelatabla">
    <w:name w:val="Encabezado de la tabla"/>
    <w:basedOn w:val="Contenidodelatabla"/>
    <w:rsid w:val="00526B11"/>
    <w:pPr>
      <w:jc w:val="center"/>
    </w:pPr>
    <w:rPr>
      <w:b/>
      <w:bCs/>
    </w:rPr>
  </w:style>
  <w:style w:type="paragraph" w:styleId="Textodeglobo">
    <w:name w:val="Balloon Text"/>
    <w:basedOn w:val="Normal"/>
    <w:semiHidden/>
    <w:rsid w:val="00850BDA"/>
    <w:rPr>
      <w:rFonts w:ascii="Tahoma" w:hAnsi="Tahoma" w:cs="Tahoma"/>
      <w:sz w:val="16"/>
      <w:szCs w:val="16"/>
    </w:rPr>
  </w:style>
  <w:style w:type="paragraph" w:customStyle="1" w:styleId="bodytext2">
    <w:name w:val="bodytext2"/>
    <w:basedOn w:val="Normal"/>
    <w:rsid w:val="00796D94"/>
    <w:pPr>
      <w:widowControl/>
      <w:suppressAutoHyphens w:val="0"/>
      <w:jc w:val="both"/>
    </w:pPr>
    <w:rPr>
      <w:rFonts w:ascii="Arial" w:eastAsia="Times New Roman" w:hAnsi="Arial" w:cs="Arial"/>
      <w:b/>
      <w:bCs/>
      <w:kern w:val="0"/>
      <w:u w:val="single"/>
      <w:lang w:eastAsia="es-ES"/>
    </w:rPr>
  </w:style>
  <w:style w:type="paragraph" w:customStyle="1" w:styleId="CharChar">
    <w:name w:val="Char Char"/>
    <w:basedOn w:val="Normal"/>
    <w:semiHidden/>
    <w:rsid w:val="00796D94"/>
    <w:pPr>
      <w:widowControl/>
      <w:suppressAutoHyphens w:val="0"/>
      <w:spacing w:after="160" w:line="240" w:lineRule="exact"/>
    </w:pPr>
    <w:rPr>
      <w:rFonts w:ascii="Verdana" w:eastAsia="Times New Roman" w:hAnsi="Verdana" w:cs="Verdana"/>
      <w:kern w:val="0"/>
      <w:sz w:val="20"/>
      <w:szCs w:val="20"/>
      <w:lang w:val="en-AU" w:eastAsia="en-US"/>
    </w:rPr>
  </w:style>
  <w:style w:type="paragraph" w:styleId="Piedepgina">
    <w:name w:val="footer"/>
    <w:basedOn w:val="Normal"/>
    <w:rsid w:val="0007249A"/>
    <w:pPr>
      <w:tabs>
        <w:tab w:val="center" w:pos="4252"/>
        <w:tab w:val="right" w:pos="8504"/>
      </w:tabs>
    </w:pPr>
  </w:style>
  <w:style w:type="paragraph" w:customStyle="1" w:styleId="3">
    <w:name w:val="3"/>
    <w:basedOn w:val="Normal"/>
    <w:semiHidden/>
    <w:rsid w:val="00005DBB"/>
    <w:pPr>
      <w:widowControl/>
      <w:suppressAutoHyphens w:val="0"/>
      <w:spacing w:after="160" w:line="240" w:lineRule="exact"/>
    </w:pPr>
    <w:rPr>
      <w:rFonts w:ascii="Verdana" w:eastAsia="Times New Roman" w:hAnsi="Verdana"/>
      <w:kern w:val="0"/>
      <w:sz w:val="20"/>
      <w:szCs w:val="21"/>
      <w:lang w:val="en-AU" w:eastAsia="en-US"/>
    </w:rPr>
  </w:style>
  <w:style w:type="paragraph" w:customStyle="1" w:styleId="style3">
    <w:name w:val="style3"/>
    <w:basedOn w:val="Normal"/>
    <w:rsid w:val="009E413D"/>
    <w:pPr>
      <w:widowControl/>
      <w:suppressAutoHyphens w:val="0"/>
      <w:spacing w:before="280" w:after="280"/>
    </w:pPr>
    <w:rPr>
      <w:rFonts w:eastAsia="Times New Roman"/>
      <w:b/>
      <w:bCs/>
      <w:color w:val="000000"/>
      <w:kern w:val="0"/>
      <w:lang w:eastAsia="es-ES"/>
    </w:rPr>
  </w:style>
  <w:style w:type="paragraph" w:customStyle="1" w:styleId="Car0">
    <w:name w:val="Car"/>
    <w:basedOn w:val="Normal"/>
    <w:semiHidden/>
    <w:rsid w:val="00372F0E"/>
    <w:pPr>
      <w:widowControl/>
      <w:suppressAutoHyphens w:val="0"/>
      <w:spacing w:after="160" w:line="240" w:lineRule="exact"/>
    </w:pPr>
    <w:rPr>
      <w:rFonts w:ascii="Verdana" w:eastAsia="Times New Roman" w:hAnsi="Verdana"/>
      <w:kern w:val="0"/>
      <w:sz w:val="20"/>
      <w:szCs w:val="21"/>
      <w:lang w:val="en-AU" w:eastAsia="en-US"/>
    </w:rPr>
  </w:style>
  <w:style w:type="paragraph" w:styleId="Sangradetextonormal">
    <w:name w:val="Body Text Indent"/>
    <w:basedOn w:val="Normal"/>
    <w:rsid w:val="007A32F0"/>
    <w:pPr>
      <w:spacing w:after="120"/>
      <w:ind w:left="283"/>
    </w:pPr>
  </w:style>
  <w:style w:type="paragraph" w:styleId="Textoindependiente2">
    <w:name w:val="Body Text 2"/>
    <w:basedOn w:val="Normal"/>
    <w:rsid w:val="007A32F0"/>
    <w:pPr>
      <w:spacing w:after="120" w:line="480" w:lineRule="auto"/>
    </w:pPr>
  </w:style>
  <w:style w:type="paragraph" w:customStyle="1" w:styleId="Textoindependiente21">
    <w:name w:val="Texto independiente 21"/>
    <w:basedOn w:val="Normal"/>
    <w:rsid w:val="007A32F0"/>
    <w:pPr>
      <w:widowControl/>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pPr>
    <w:rPr>
      <w:rFonts w:eastAsia="Times New Roman"/>
      <w:spacing w:val="-3"/>
      <w:kern w:val="0"/>
      <w:szCs w:val="20"/>
      <w:lang w:eastAsia="es-ES"/>
    </w:rPr>
  </w:style>
  <w:style w:type="paragraph" w:styleId="Textonotapie">
    <w:name w:val="footnote text"/>
    <w:basedOn w:val="Normal"/>
    <w:rsid w:val="007A32F0"/>
    <w:pPr>
      <w:widowControl/>
      <w:suppressAutoHyphens w:val="0"/>
    </w:pPr>
    <w:rPr>
      <w:rFonts w:eastAsia="Times New Roman"/>
      <w:kern w:val="0"/>
      <w:sz w:val="20"/>
      <w:szCs w:val="20"/>
      <w:lang w:eastAsia="es-ES"/>
    </w:rPr>
  </w:style>
  <w:style w:type="paragraph" w:customStyle="1" w:styleId="framecontents">
    <w:name w:val="framecontents"/>
    <w:basedOn w:val="Normal"/>
    <w:rsid w:val="007A32F0"/>
    <w:pPr>
      <w:widowControl/>
      <w:suppressAutoHyphens w:val="0"/>
      <w:overflowPunct w:val="0"/>
      <w:autoSpaceDE w:val="0"/>
      <w:autoSpaceDN w:val="0"/>
      <w:jc w:val="both"/>
    </w:pPr>
    <w:rPr>
      <w:rFonts w:ascii="Century Gothic" w:eastAsia="Times New Roman" w:hAnsi="Century Gothic"/>
      <w:kern w:val="0"/>
      <w:lang w:eastAsia="es-ES"/>
    </w:rPr>
  </w:style>
  <w:style w:type="paragraph" w:customStyle="1" w:styleId="CharChar0">
    <w:name w:val="Char Char"/>
    <w:basedOn w:val="Normal"/>
    <w:semiHidden/>
    <w:rsid w:val="00654AAF"/>
    <w:pPr>
      <w:widowControl/>
      <w:suppressAutoHyphens w:val="0"/>
      <w:spacing w:after="160" w:line="240" w:lineRule="exact"/>
    </w:pPr>
    <w:rPr>
      <w:rFonts w:ascii="Verdana" w:eastAsia="Times New Roman" w:hAnsi="Verdana"/>
      <w:kern w:val="0"/>
      <w:sz w:val="20"/>
      <w:szCs w:val="21"/>
      <w:lang w:val="en-AU" w:eastAsia="en-US"/>
    </w:rPr>
  </w:style>
</w:styles>
</file>

<file path=word/webSettings.xml><?xml version="1.0" encoding="utf-8"?>
<w:webSettings xmlns:r="http://schemas.openxmlformats.org/officeDocument/2006/relationships" xmlns:w="http://schemas.openxmlformats.org/wordprocessingml/2006/main">
  <w:divs>
    <w:div w:id="95946664">
      <w:bodyDiv w:val="1"/>
      <w:marLeft w:val="0"/>
      <w:marRight w:val="0"/>
      <w:marTop w:val="0"/>
      <w:marBottom w:val="0"/>
      <w:divBdr>
        <w:top w:val="none" w:sz="0" w:space="0" w:color="auto"/>
        <w:left w:val="none" w:sz="0" w:space="0" w:color="auto"/>
        <w:bottom w:val="none" w:sz="0" w:space="0" w:color="auto"/>
        <w:right w:val="none" w:sz="0" w:space="0" w:color="auto"/>
      </w:divBdr>
    </w:div>
    <w:div w:id="197861836">
      <w:bodyDiv w:val="1"/>
      <w:marLeft w:val="0"/>
      <w:marRight w:val="0"/>
      <w:marTop w:val="0"/>
      <w:marBottom w:val="0"/>
      <w:divBdr>
        <w:top w:val="none" w:sz="0" w:space="0" w:color="auto"/>
        <w:left w:val="none" w:sz="0" w:space="0" w:color="auto"/>
        <w:bottom w:val="none" w:sz="0" w:space="0" w:color="auto"/>
        <w:right w:val="none" w:sz="0" w:space="0" w:color="auto"/>
      </w:divBdr>
    </w:div>
    <w:div w:id="384646688">
      <w:bodyDiv w:val="1"/>
      <w:marLeft w:val="0"/>
      <w:marRight w:val="0"/>
      <w:marTop w:val="0"/>
      <w:marBottom w:val="0"/>
      <w:divBdr>
        <w:top w:val="none" w:sz="0" w:space="0" w:color="auto"/>
        <w:left w:val="none" w:sz="0" w:space="0" w:color="auto"/>
        <w:bottom w:val="none" w:sz="0" w:space="0" w:color="auto"/>
        <w:right w:val="none" w:sz="0" w:space="0" w:color="auto"/>
      </w:divBdr>
    </w:div>
    <w:div w:id="429398842">
      <w:bodyDiv w:val="1"/>
      <w:marLeft w:val="0"/>
      <w:marRight w:val="0"/>
      <w:marTop w:val="0"/>
      <w:marBottom w:val="0"/>
      <w:divBdr>
        <w:top w:val="none" w:sz="0" w:space="0" w:color="auto"/>
        <w:left w:val="none" w:sz="0" w:space="0" w:color="auto"/>
        <w:bottom w:val="none" w:sz="0" w:space="0" w:color="auto"/>
        <w:right w:val="none" w:sz="0" w:space="0" w:color="auto"/>
      </w:divBdr>
    </w:div>
    <w:div w:id="445201185">
      <w:bodyDiv w:val="1"/>
      <w:marLeft w:val="0"/>
      <w:marRight w:val="0"/>
      <w:marTop w:val="0"/>
      <w:marBottom w:val="0"/>
      <w:divBdr>
        <w:top w:val="none" w:sz="0" w:space="0" w:color="auto"/>
        <w:left w:val="none" w:sz="0" w:space="0" w:color="auto"/>
        <w:bottom w:val="none" w:sz="0" w:space="0" w:color="auto"/>
        <w:right w:val="none" w:sz="0" w:space="0" w:color="auto"/>
      </w:divBdr>
    </w:div>
    <w:div w:id="611130625">
      <w:bodyDiv w:val="1"/>
      <w:marLeft w:val="0"/>
      <w:marRight w:val="0"/>
      <w:marTop w:val="0"/>
      <w:marBottom w:val="0"/>
      <w:divBdr>
        <w:top w:val="none" w:sz="0" w:space="0" w:color="auto"/>
        <w:left w:val="none" w:sz="0" w:space="0" w:color="auto"/>
        <w:bottom w:val="none" w:sz="0" w:space="0" w:color="auto"/>
        <w:right w:val="none" w:sz="0" w:space="0" w:color="auto"/>
      </w:divBdr>
    </w:div>
    <w:div w:id="737090628">
      <w:bodyDiv w:val="1"/>
      <w:marLeft w:val="0"/>
      <w:marRight w:val="0"/>
      <w:marTop w:val="0"/>
      <w:marBottom w:val="0"/>
      <w:divBdr>
        <w:top w:val="none" w:sz="0" w:space="0" w:color="auto"/>
        <w:left w:val="none" w:sz="0" w:space="0" w:color="auto"/>
        <w:bottom w:val="none" w:sz="0" w:space="0" w:color="auto"/>
        <w:right w:val="none" w:sz="0" w:space="0" w:color="auto"/>
      </w:divBdr>
    </w:div>
    <w:div w:id="1004013009">
      <w:bodyDiv w:val="1"/>
      <w:marLeft w:val="0"/>
      <w:marRight w:val="0"/>
      <w:marTop w:val="0"/>
      <w:marBottom w:val="0"/>
      <w:divBdr>
        <w:top w:val="none" w:sz="0" w:space="0" w:color="auto"/>
        <w:left w:val="none" w:sz="0" w:space="0" w:color="auto"/>
        <w:bottom w:val="none" w:sz="0" w:space="0" w:color="auto"/>
        <w:right w:val="none" w:sz="0" w:space="0" w:color="auto"/>
      </w:divBdr>
    </w:div>
    <w:div w:id="1142381523">
      <w:bodyDiv w:val="1"/>
      <w:marLeft w:val="0"/>
      <w:marRight w:val="0"/>
      <w:marTop w:val="0"/>
      <w:marBottom w:val="0"/>
      <w:divBdr>
        <w:top w:val="none" w:sz="0" w:space="0" w:color="auto"/>
        <w:left w:val="none" w:sz="0" w:space="0" w:color="auto"/>
        <w:bottom w:val="none" w:sz="0" w:space="0" w:color="auto"/>
        <w:right w:val="none" w:sz="0" w:space="0" w:color="auto"/>
      </w:divBdr>
    </w:div>
    <w:div w:id="1271476744">
      <w:bodyDiv w:val="1"/>
      <w:marLeft w:val="0"/>
      <w:marRight w:val="0"/>
      <w:marTop w:val="0"/>
      <w:marBottom w:val="0"/>
      <w:divBdr>
        <w:top w:val="none" w:sz="0" w:space="0" w:color="auto"/>
        <w:left w:val="none" w:sz="0" w:space="0" w:color="auto"/>
        <w:bottom w:val="none" w:sz="0" w:space="0" w:color="auto"/>
        <w:right w:val="none" w:sz="0" w:space="0" w:color="auto"/>
      </w:divBdr>
    </w:div>
    <w:div w:id="1317299520">
      <w:bodyDiv w:val="1"/>
      <w:marLeft w:val="0"/>
      <w:marRight w:val="0"/>
      <w:marTop w:val="0"/>
      <w:marBottom w:val="0"/>
      <w:divBdr>
        <w:top w:val="none" w:sz="0" w:space="0" w:color="auto"/>
        <w:left w:val="none" w:sz="0" w:space="0" w:color="auto"/>
        <w:bottom w:val="none" w:sz="0" w:space="0" w:color="auto"/>
        <w:right w:val="none" w:sz="0" w:space="0" w:color="auto"/>
      </w:divBdr>
    </w:div>
    <w:div w:id="1535536797">
      <w:bodyDiv w:val="1"/>
      <w:marLeft w:val="0"/>
      <w:marRight w:val="0"/>
      <w:marTop w:val="0"/>
      <w:marBottom w:val="0"/>
      <w:divBdr>
        <w:top w:val="none" w:sz="0" w:space="0" w:color="auto"/>
        <w:left w:val="none" w:sz="0" w:space="0" w:color="auto"/>
        <w:bottom w:val="none" w:sz="0" w:space="0" w:color="auto"/>
        <w:right w:val="none" w:sz="0" w:space="0" w:color="auto"/>
      </w:divBdr>
    </w:div>
    <w:div w:id="1619146918">
      <w:bodyDiv w:val="1"/>
      <w:marLeft w:val="0"/>
      <w:marRight w:val="0"/>
      <w:marTop w:val="0"/>
      <w:marBottom w:val="0"/>
      <w:divBdr>
        <w:top w:val="none" w:sz="0" w:space="0" w:color="auto"/>
        <w:left w:val="none" w:sz="0" w:space="0" w:color="auto"/>
        <w:bottom w:val="none" w:sz="0" w:space="0" w:color="auto"/>
        <w:right w:val="none" w:sz="0" w:space="0" w:color="auto"/>
      </w:divBdr>
    </w:div>
    <w:div w:id="1625424769">
      <w:bodyDiv w:val="1"/>
      <w:marLeft w:val="0"/>
      <w:marRight w:val="0"/>
      <w:marTop w:val="0"/>
      <w:marBottom w:val="0"/>
      <w:divBdr>
        <w:top w:val="none" w:sz="0" w:space="0" w:color="auto"/>
        <w:left w:val="none" w:sz="0" w:space="0" w:color="auto"/>
        <w:bottom w:val="none" w:sz="0" w:space="0" w:color="auto"/>
        <w:right w:val="none" w:sz="0" w:space="0" w:color="auto"/>
      </w:divBdr>
    </w:div>
    <w:div w:id="1756583474">
      <w:bodyDiv w:val="1"/>
      <w:marLeft w:val="0"/>
      <w:marRight w:val="0"/>
      <w:marTop w:val="0"/>
      <w:marBottom w:val="0"/>
      <w:divBdr>
        <w:top w:val="none" w:sz="0" w:space="0" w:color="auto"/>
        <w:left w:val="none" w:sz="0" w:space="0" w:color="auto"/>
        <w:bottom w:val="none" w:sz="0" w:space="0" w:color="auto"/>
        <w:right w:val="none" w:sz="0" w:space="0" w:color="auto"/>
      </w:divBdr>
    </w:div>
    <w:div w:id="1986083064">
      <w:bodyDiv w:val="1"/>
      <w:marLeft w:val="0"/>
      <w:marRight w:val="0"/>
      <w:marTop w:val="0"/>
      <w:marBottom w:val="0"/>
      <w:divBdr>
        <w:top w:val="none" w:sz="0" w:space="0" w:color="auto"/>
        <w:left w:val="none" w:sz="0" w:space="0" w:color="auto"/>
        <w:bottom w:val="none" w:sz="0" w:space="0" w:color="auto"/>
        <w:right w:val="none" w:sz="0" w:space="0" w:color="auto"/>
      </w:divBdr>
    </w:div>
    <w:div w:id="2060857312">
      <w:bodyDiv w:val="1"/>
      <w:marLeft w:val="0"/>
      <w:marRight w:val="0"/>
      <w:marTop w:val="0"/>
      <w:marBottom w:val="0"/>
      <w:divBdr>
        <w:top w:val="none" w:sz="0" w:space="0" w:color="auto"/>
        <w:left w:val="none" w:sz="0" w:space="0" w:color="auto"/>
        <w:bottom w:val="none" w:sz="0" w:space="0" w:color="auto"/>
        <w:right w:val="none" w:sz="0" w:space="0" w:color="auto"/>
      </w:divBdr>
    </w:div>
    <w:div w:id="2104261707">
      <w:bodyDiv w:val="1"/>
      <w:marLeft w:val="0"/>
      <w:marRight w:val="0"/>
      <w:marTop w:val="0"/>
      <w:marBottom w:val="0"/>
      <w:divBdr>
        <w:top w:val="none" w:sz="0" w:space="0" w:color="auto"/>
        <w:left w:val="none" w:sz="0" w:space="0" w:color="auto"/>
        <w:bottom w:val="none" w:sz="0" w:space="0" w:color="auto"/>
        <w:right w:val="none" w:sz="0" w:space="0" w:color="auto"/>
      </w:divBdr>
    </w:div>
    <w:div w:id="2135127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1597</Words>
  <Characters>8785</Characters>
  <Application>Microsoft Office Word</Application>
  <DocSecurity>0</DocSecurity>
  <Lines>73</Lines>
  <Paragraphs>20</Paragraphs>
  <ScaleCrop>false</ScaleCrop>
  <HeadingPairs>
    <vt:vector size="2" baseType="variant">
      <vt:variant>
        <vt:lpstr>Título</vt:lpstr>
      </vt:variant>
      <vt:variant>
        <vt:i4>1</vt:i4>
      </vt:variant>
    </vt:vector>
  </HeadingPairs>
  <TitlesOfParts>
    <vt:vector size="1" baseType="lpstr">
      <vt:lpstr>AVISO N° 27-2009</vt:lpstr>
    </vt:vector>
  </TitlesOfParts>
  <Company>Poder Judicial</Company>
  <LinksUpToDate>false</LinksUpToDate>
  <CharactersWithSpaces>10362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AVISO N° 27-2009</dc:title>
  <dc:creator>usuario1</dc:creator>
  <cp:lastModifiedBy>ljimenezz</cp:lastModifiedBy>
  <cp:revision>2</cp:revision>
  <cp:lastPrinted>2013-02-08T15:17:00Z</cp:lastPrinted>
  <dcterms:created xsi:type="dcterms:W3CDTF">2020-11-19T15:41:00Z</dcterms:created>
  <dcterms:modified xsi:type="dcterms:W3CDTF">2020-11-19T15:41:00Z</dcterms:modified>
</cp:coreProperties>
</file>