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531" w:rsidRDefault="00E0053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object w:dxaOrig="806" w:dyaOrig="902">
          <v:rect id="rectole0000000000" o:spid="_x0000_i1025" style="width:40.45pt;height:45.05pt" o:ole="" o:preferrelative="t" stroked="f">
            <v:imagedata r:id="rId4" o:title=""/>
          </v:rect>
          <o:OLEObject Type="Embed" ProgID="StaticMetafile" ShapeID="rectole0000000000" DrawAspect="Content" ObjectID="_1667275775" r:id="rId5"/>
        </w:object>
      </w:r>
    </w:p>
    <w:p w:rsidR="00E00531" w:rsidRDefault="00BA07CA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PODER JUDICIAL           DIRECCION EJECUTIVA</w:t>
      </w:r>
    </w:p>
    <w:p w:rsidR="00E00531" w:rsidRDefault="00BA07CA">
      <w:pPr>
        <w:tabs>
          <w:tab w:val="right" w:pos="10366"/>
        </w:tabs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Tel. 2295-4322San José</w:t>
      </w:r>
    </w:p>
    <w:p w:rsidR="00E00531" w:rsidRDefault="00BA07CA">
      <w:pPr>
        <w:tabs>
          <w:tab w:val="right" w:pos="9072"/>
        </w:tabs>
        <w:spacing w:after="0" w:line="240" w:lineRule="auto"/>
        <w:ind w:right="759"/>
        <w:rPr>
          <w:rFonts w:ascii="Arial" w:eastAsia="Arial" w:hAnsi="Arial" w:cs="Arial"/>
          <w:sz w:val="18"/>
          <w:u w:val="single"/>
        </w:rPr>
      </w:pPr>
      <w:r>
        <w:rPr>
          <w:rFonts w:ascii="Arial" w:eastAsia="Arial" w:hAnsi="Arial" w:cs="Arial"/>
          <w:sz w:val="18"/>
          <w:u w:val="single"/>
        </w:rPr>
        <w:t>Fax 2233-8438                                                   direc_ejecutiva@poder-judicial.go.cr</w:t>
      </w:r>
      <w:r>
        <w:rPr>
          <w:rFonts w:ascii="Arial" w:eastAsia="Arial" w:hAnsi="Arial" w:cs="Arial"/>
          <w:sz w:val="18"/>
          <w:u w:val="single"/>
        </w:rPr>
        <w:tab/>
        <w:t xml:space="preserve">  Costa Rica</w:t>
      </w:r>
    </w:p>
    <w:p w:rsidR="00E00531" w:rsidRDefault="00E00531">
      <w:pPr>
        <w:tabs>
          <w:tab w:val="right" w:pos="9072"/>
        </w:tabs>
        <w:spacing w:after="0" w:line="240" w:lineRule="auto"/>
        <w:ind w:right="759"/>
        <w:rPr>
          <w:rFonts w:ascii="Arial" w:eastAsia="Arial" w:hAnsi="Arial" w:cs="Arial"/>
          <w:sz w:val="18"/>
          <w:u w:val="single"/>
        </w:rPr>
      </w:pPr>
    </w:p>
    <w:p w:rsidR="00E00531" w:rsidRDefault="00E00531">
      <w:pPr>
        <w:spacing w:after="0" w:line="240" w:lineRule="auto"/>
        <w:ind w:left="5751"/>
        <w:jc w:val="both"/>
        <w:rPr>
          <w:rFonts w:ascii="Calibri" w:eastAsia="Calibri" w:hAnsi="Calibri" w:cs="Calibri"/>
          <w:sz w:val="24"/>
        </w:rPr>
      </w:pPr>
    </w:p>
    <w:p w:rsidR="00E00531" w:rsidRDefault="00BA07CA">
      <w:pPr>
        <w:spacing w:after="0" w:line="240" w:lineRule="auto"/>
        <w:ind w:left="5751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>N° 458-DE-2018</w:t>
      </w:r>
    </w:p>
    <w:p w:rsidR="00E00531" w:rsidRDefault="00BA07CA">
      <w:pPr>
        <w:spacing w:after="0" w:line="240" w:lineRule="auto"/>
        <w:ind w:left="5751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 de febrero de 2018</w:t>
      </w:r>
    </w:p>
    <w:p w:rsidR="00E00531" w:rsidRDefault="00E00531">
      <w:pPr>
        <w:suppressAutoHyphens/>
        <w:spacing w:after="0" w:line="240" w:lineRule="auto"/>
        <w:ind w:right="759"/>
        <w:jc w:val="both"/>
        <w:rPr>
          <w:rFonts w:ascii="Calibri" w:eastAsia="Calibri" w:hAnsi="Calibri" w:cs="Calibri"/>
          <w:b/>
          <w:sz w:val="24"/>
          <w:u w:val="single"/>
          <w:shd w:val="clear" w:color="auto" w:fill="FFFFFF"/>
        </w:rPr>
      </w:pPr>
    </w:p>
    <w:p w:rsidR="00E00531" w:rsidRDefault="00BA07CA">
      <w:pPr>
        <w:suppressAutoHyphens/>
        <w:spacing w:after="0" w:line="240" w:lineRule="auto"/>
        <w:ind w:right="759"/>
        <w:jc w:val="both"/>
        <w:rPr>
          <w:rFonts w:ascii="Calibri" w:eastAsia="Calibri" w:hAnsi="Calibri" w:cs="Calibri"/>
          <w:b/>
          <w:sz w:val="24"/>
          <w:u w:val="single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u w:val="single"/>
          <w:shd w:val="clear" w:color="auto" w:fill="FFFFFF"/>
        </w:rPr>
        <w:t>Licenciada</w:t>
      </w:r>
    </w:p>
    <w:p w:rsidR="00E00531" w:rsidRDefault="00BA07CA">
      <w:pPr>
        <w:suppressAutoHyphens/>
        <w:spacing w:after="0" w:line="240" w:lineRule="auto"/>
        <w:ind w:right="759"/>
        <w:jc w:val="both"/>
        <w:rPr>
          <w:rFonts w:ascii="Calibri" w:eastAsia="Calibri" w:hAnsi="Calibri" w:cs="Calibri"/>
          <w:b/>
          <w:sz w:val="24"/>
          <w:u w:val="single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u w:val="single"/>
          <w:shd w:val="clear" w:color="auto" w:fill="FFFFFF"/>
        </w:rPr>
        <w:t>Ligia Jiménez Zamora, Supervisora</w:t>
      </w:r>
    </w:p>
    <w:p w:rsidR="00E00531" w:rsidRDefault="00BA07CA">
      <w:pPr>
        <w:suppressAutoHyphens/>
        <w:spacing w:after="0" w:line="240" w:lineRule="auto"/>
        <w:ind w:right="759"/>
        <w:jc w:val="both"/>
        <w:rPr>
          <w:rFonts w:ascii="Calibri" w:eastAsia="Calibri" w:hAnsi="Calibri" w:cs="Calibri"/>
          <w:b/>
          <w:sz w:val="24"/>
          <w:u w:val="single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u w:val="single"/>
          <w:shd w:val="clear" w:color="auto" w:fill="FFFFFF"/>
        </w:rPr>
        <w:t>Defensa Pública, Unidad de Atención a Personas Indígenas</w:t>
      </w:r>
    </w:p>
    <w:p w:rsidR="00E00531" w:rsidRDefault="00BA07CA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Su Despacho</w:t>
      </w:r>
      <w:r>
        <w:rPr>
          <w:rFonts w:ascii="Calibri" w:eastAsia="Calibri" w:hAnsi="Calibri" w:cs="Calibri"/>
          <w:sz w:val="24"/>
        </w:rPr>
        <w:t xml:space="preserve"> </w:t>
      </w:r>
    </w:p>
    <w:p w:rsidR="00E00531" w:rsidRDefault="00E00531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:rsidR="00E00531" w:rsidRDefault="00BA07CA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Estimada señora:</w:t>
      </w:r>
    </w:p>
    <w:p w:rsidR="00E00531" w:rsidRDefault="00BA07CA">
      <w:pPr>
        <w:suppressAutoHyphens/>
        <w:spacing w:before="280" w:after="280" w:line="240" w:lineRule="auto"/>
        <w:ind w:right="759" w:firstLine="720"/>
        <w:jc w:val="both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sz w:val="24"/>
        </w:rPr>
        <w:t xml:space="preserve">En atención al correo electrónico, remitido a esta Dirección Ejecutiva el 23 de enero del presente año, en el cual reitera </w:t>
      </w:r>
      <w:r>
        <w:rPr>
          <w:rFonts w:ascii="Calibri" w:eastAsia="Calibri" w:hAnsi="Calibri" w:cs="Calibri"/>
          <w:sz w:val="24"/>
        </w:rPr>
        <w:t>una consulta realizada en el mes de octubre del año, donde solicita se autorice el pago de taxi a personas en situación de vulnerabilidad, en  aquellos casos que viven en sectores alejados y los autobuses, por razones de horario, no prestan el servicio, me</w:t>
      </w:r>
      <w:r>
        <w:rPr>
          <w:rFonts w:ascii="Calibri" w:eastAsia="Calibri" w:hAnsi="Calibri" w:cs="Calibri"/>
          <w:sz w:val="24"/>
        </w:rPr>
        <w:t xml:space="preserve"> permito indicarle que mediante oficio N°212-DE-2018 dirigido al Licenciado José Luis Soto Richmond, Administrador de la Defensa Pública de San José, con copia a su persona, se señala que la ayuda económica  puede darse siempre y cuando, el Defensor o Defe</w:t>
      </w:r>
      <w:r>
        <w:rPr>
          <w:rFonts w:ascii="Calibri" w:eastAsia="Calibri" w:hAnsi="Calibri" w:cs="Calibri"/>
          <w:sz w:val="24"/>
        </w:rPr>
        <w:t xml:space="preserve">nsora elabore una resolución o escrito, mediante la cual  se acredite que se atendió una persona en condición de </w:t>
      </w:r>
      <w:r>
        <w:rPr>
          <w:rFonts w:ascii="Calibri" w:eastAsia="Calibri" w:hAnsi="Calibri" w:cs="Calibri"/>
          <w:sz w:val="24"/>
          <w:u w:val="single"/>
        </w:rPr>
        <w:t>vulnerabilidad o de pobreza</w:t>
      </w:r>
      <w:r>
        <w:rPr>
          <w:rFonts w:ascii="Calibri" w:eastAsia="Calibri" w:hAnsi="Calibri" w:cs="Calibri"/>
          <w:sz w:val="24"/>
        </w:rPr>
        <w:t>, con lo cual la Administración Regional,  podrá llevar a cabo el pago respectivo.</w:t>
      </w:r>
    </w:p>
    <w:p w:rsidR="00E00531" w:rsidRDefault="00BA07CA">
      <w:pPr>
        <w:suppressAutoHyphens/>
        <w:spacing w:before="280" w:after="280" w:line="240" w:lineRule="auto"/>
        <w:ind w:right="759" w:firstLine="72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Al respecto, conforme criterio ju</w:t>
      </w:r>
      <w:r>
        <w:rPr>
          <w:rFonts w:ascii="Calibri" w:eastAsia="Calibri" w:hAnsi="Calibri" w:cs="Calibri"/>
          <w:sz w:val="24"/>
        </w:rPr>
        <w:t xml:space="preserve">rídico emitido en su momento por la Asesoría Legal de esta Dirección Ejecutiva, en oficio 470-DE/AL-2010, se establece lo siguiente: </w:t>
      </w:r>
    </w:p>
    <w:p w:rsidR="00E00531" w:rsidRDefault="00BA07CA">
      <w:pPr>
        <w:suppressAutoHyphens/>
        <w:spacing w:before="100" w:after="0" w:line="240" w:lineRule="auto"/>
        <w:ind w:left="737" w:right="1610"/>
        <w:jc w:val="both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 xml:space="preserve">“el </w:t>
      </w:r>
      <w:r>
        <w:rPr>
          <w:rFonts w:ascii="Calibri" w:eastAsia="Calibri" w:hAnsi="Calibri" w:cs="Calibri"/>
          <w:b/>
          <w:i/>
          <w:sz w:val="24"/>
        </w:rPr>
        <w:t>principio de Gratuidad</w:t>
      </w:r>
      <w:r>
        <w:rPr>
          <w:rFonts w:ascii="Calibri" w:eastAsia="Calibri" w:hAnsi="Calibri" w:cs="Calibri"/>
          <w:i/>
          <w:sz w:val="24"/>
        </w:rPr>
        <w:t xml:space="preserve">, deriva del Derecho a la Justicia Pronta y Cumplida consagrado en el artículo 41 de la Constitución Política, tiene como propósito general garantizar el acceso a la justicia de </w:t>
      </w:r>
      <w:r>
        <w:rPr>
          <w:rFonts w:ascii="Calibri" w:eastAsia="Calibri" w:hAnsi="Calibri" w:cs="Calibri"/>
          <w:b/>
          <w:i/>
          <w:sz w:val="24"/>
        </w:rPr>
        <w:t xml:space="preserve">quienes por su condición económica </w:t>
      </w:r>
      <w:r>
        <w:rPr>
          <w:rFonts w:ascii="Calibri" w:eastAsia="Calibri" w:hAnsi="Calibri" w:cs="Calibri"/>
          <w:i/>
          <w:sz w:val="24"/>
        </w:rPr>
        <w:t>se encuentren en una situación de desventaj</w:t>
      </w:r>
      <w:r>
        <w:rPr>
          <w:rFonts w:ascii="Calibri" w:eastAsia="Calibri" w:hAnsi="Calibri" w:cs="Calibri"/>
          <w:i/>
          <w:sz w:val="24"/>
        </w:rPr>
        <w:t>a, y rige en la materia de laboral, agrario, familia, penal y civil, si en esta última se establece el principio de pobreza”. (El resaltado no corresponde al original)</w:t>
      </w:r>
    </w:p>
    <w:p w:rsidR="00E00531" w:rsidRDefault="00BA07CA">
      <w:pPr>
        <w:suppressAutoHyphens/>
        <w:spacing w:before="280" w:after="280" w:line="240" w:lineRule="auto"/>
        <w:ind w:right="759" w:firstLine="72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Asimismo, esta Dirección Ejecutiva,  mediante Circular No. 21-2016, ha establecido una s</w:t>
      </w:r>
      <w:r>
        <w:rPr>
          <w:rFonts w:ascii="Calibri" w:eastAsia="Calibri" w:hAnsi="Calibri" w:cs="Calibri"/>
          <w:sz w:val="24"/>
        </w:rPr>
        <w:t xml:space="preserve">erie de Reglas Prácticas para el reconocimiento y pago de Ayuda Económica a Testigos, Menores Infractores, Víctimas e Imputados. Esta circular consolida directrices dadas en diferentes circulares o acuerdos de </w:t>
      </w:r>
      <w:r>
        <w:rPr>
          <w:rFonts w:ascii="Calibri" w:eastAsia="Calibri" w:hAnsi="Calibri" w:cs="Calibri"/>
          <w:sz w:val="24"/>
        </w:rPr>
        <w:lastRenderedPageBreak/>
        <w:t>instancias superiores, la cual se ha reiterado</w:t>
      </w:r>
      <w:r>
        <w:rPr>
          <w:rFonts w:ascii="Calibri" w:eastAsia="Calibri" w:hAnsi="Calibri" w:cs="Calibri"/>
          <w:sz w:val="24"/>
        </w:rPr>
        <w:t xml:space="preserve"> mediante el Departamento de Prensa y Comunicación Organizacional, con el fin de unificar, estandarizar y agilizar el debido proceso de reconocimiento y pago de ayudas económicas, donde dicha circular en lo que interesa señala:</w:t>
      </w:r>
    </w:p>
    <w:p w:rsidR="00E00531" w:rsidRDefault="00BA07CA">
      <w:pPr>
        <w:suppressAutoHyphens/>
        <w:spacing w:before="100" w:after="0" w:line="240" w:lineRule="auto"/>
        <w:ind w:left="708" w:right="1610"/>
        <w:jc w:val="both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“</w:t>
      </w:r>
      <w:r>
        <w:rPr>
          <w:rFonts w:ascii="Calibri" w:eastAsia="Calibri" w:hAnsi="Calibri" w:cs="Calibri"/>
          <w:i/>
          <w:sz w:val="24"/>
          <w:u w:val="single"/>
        </w:rPr>
        <w:t>Será responsabilidad</w:t>
      </w:r>
      <w:r>
        <w:rPr>
          <w:rFonts w:ascii="Calibri" w:eastAsia="Calibri" w:hAnsi="Calibri" w:cs="Calibri"/>
          <w:i/>
          <w:sz w:val="24"/>
        </w:rPr>
        <w:t xml:space="preserve"> de </w:t>
      </w:r>
      <w:r>
        <w:rPr>
          <w:rFonts w:ascii="Calibri" w:eastAsia="Calibri" w:hAnsi="Calibri" w:cs="Calibri"/>
          <w:i/>
          <w:sz w:val="24"/>
          <w:u w:val="single"/>
        </w:rPr>
        <w:t xml:space="preserve">la </w:t>
      </w:r>
      <w:r>
        <w:rPr>
          <w:rFonts w:ascii="Calibri" w:eastAsia="Calibri" w:hAnsi="Calibri" w:cs="Calibri"/>
          <w:i/>
          <w:sz w:val="24"/>
          <w:u w:val="single"/>
        </w:rPr>
        <w:t>persona servidora</w:t>
      </w:r>
      <w:r>
        <w:rPr>
          <w:rFonts w:ascii="Calibri" w:eastAsia="Calibri" w:hAnsi="Calibri" w:cs="Calibri"/>
          <w:i/>
          <w:sz w:val="24"/>
        </w:rPr>
        <w:t xml:space="preserve"> judicial </w:t>
      </w:r>
      <w:r>
        <w:rPr>
          <w:rFonts w:ascii="Calibri" w:eastAsia="Calibri" w:hAnsi="Calibri" w:cs="Calibri"/>
          <w:i/>
          <w:sz w:val="24"/>
          <w:u w:val="single"/>
        </w:rPr>
        <w:t xml:space="preserve">que gestione </w:t>
      </w:r>
      <w:r>
        <w:rPr>
          <w:rFonts w:ascii="Calibri" w:eastAsia="Calibri" w:hAnsi="Calibri" w:cs="Calibri"/>
          <w:i/>
          <w:sz w:val="24"/>
        </w:rPr>
        <w:t xml:space="preserve">la ayuda, </w:t>
      </w:r>
      <w:r>
        <w:rPr>
          <w:rFonts w:ascii="Calibri" w:eastAsia="Calibri" w:hAnsi="Calibri" w:cs="Calibri"/>
          <w:i/>
          <w:sz w:val="24"/>
          <w:u w:val="single"/>
        </w:rPr>
        <w:t>verificar la condición de pobreza o las circunstancias particulares</w:t>
      </w:r>
      <w:r>
        <w:rPr>
          <w:rFonts w:ascii="Calibri" w:eastAsia="Calibri" w:hAnsi="Calibri" w:cs="Calibri"/>
          <w:i/>
          <w:sz w:val="24"/>
        </w:rPr>
        <w:t xml:space="preserve"> que se mencionan en los puntos anteriores. Todo esto lo acreditará ante las oficinas o despachos que tengan asignados los fondos para paga</w:t>
      </w:r>
      <w:r>
        <w:rPr>
          <w:rFonts w:ascii="Calibri" w:eastAsia="Calibri" w:hAnsi="Calibri" w:cs="Calibri"/>
          <w:i/>
          <w:sz w:val="24"/>
        </w:rPr>
        <w:t>r las ayudas quienes mantendrán un archivo con los respectivos comprobantes.</w:t>
      </w:r>
    </w:p>
    <w:p w:rsidR="00E00531" w:rsidRDefault="00BA07CA">
      <w:pPr>
        <w:suppressAutoHyphens/>
        <w:spacing w:before="100" w:after="0" w:line="240" w:lineRule="auto"/>
        <w:ind w:left="705" w:right="1610"/>
        <w:jc w:val="both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 xml:space="preserve">En el proceso de solicitud y pago de ayudas económicas </w:t>
      </w:r>
      <w:r>
        <w:rPr>
          <w:rFonts w:ascii="Calibri" w:eastAsia="Calibri" w:hAnsi="Calibri" w:cs="Calibri"/>
          <w:i/>
          <w:sz w:val="24"/>
          <w:u w:val="single"/>
        </w:rPr>
        <w:t xml:space="preserve">privará la no </w:t>
      </w:r>
      <w:proofErr w:type="spellStart"/>
      <w:r>
        <w:rPr>
          <w:rFonts w:ascii="Calibri" w:eastAsia="Calibri" w:hAnsi="Calibri" w:cs="Calibri"/>
          <w:i/>
          <w:sz w:val="24"/>
          <w:u w:val="single"/>
        </w:rPr>
        <w:t>revictimización</w:t>
      </w:r>
      <w:proofErr w:type="spellEnd"/>
      <w:r>
        <w:rPr>
          <w:rFonts w:ascii="Calibri" w:eastAsia="Calibri" w:hAnsi="Calibri" w:cs="Calibri"/>
          <w:i/>
          <w:sz w:val="24"/>
          <w:u w:val="single"/>
        </w:rPr>
        <w:t xml:space="preserve"> </w:t>
      </w:r>
      <w:r>
        <w:rPr>
          <w:rFonts w:ascii="Calibri" w:eastAsia="Calibri" w:hAnsi="Calibri" w:cs="Calibri"/>
          <w:i/>
          <w:sz w:val="24"/>
        </w:rPr>
        <w:t xml:space="preserve"> de las personas que lo requieran y el acceso a la justicia.</w:t>
      </w:r>
    </w:p>
    <w:p w:rsidR="00E00531" w:rsidRDefault="00BA07CA">
      <w:pPr>
        <w:suppressAutoHyphens/>
        <w:spacing w:before="100" w:after="0" w:line="240" w:lineRule="auto"/>
        <w:ind w:left="705" w:right="1610"/>
        <w:jc w:val="both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ab/>
        <w:t xml:space="preserve">De igual forma, </w:t>
      </w:r>
      <w:r>
        <w:rPr>
          <w:rFonts w:ascii="Calibri" w:eastAsia="Calibri" w:hAnsi="Calibri" w:cs="Calibri"/>
          <w:i/>
          <w:sz w:val="24"/>
          <w:u w:val="single"/>
        </w:rPr>
        <w:t xml:space="preserve">los despachos y </w:t>
      </w:r>
      <w:r>
        <w:rPr>
          <w:rFonts w:ascii="Calibri" w:eastAsia="Calibri" w:hAnsi="Calibri" w:cs="Calibri"/>
          <w:i/>
          <w:sz w:val="24"/>
          <w:u w:val="single"/>
        </w:rPr>
        <w:t>oficinas judiciales tienen la obligación de dejar constancia,</w:t>
      </w:r>
      <w:r>
        <w:rPr>
          <w:rFonts w:ascii="Calibri" w:eastAsia="Calibri" w:hAnsi="Calibri" w:cs="Calibri"/>
          <w:i/>
          <w:sz w:val="24"/>
        </w:rPr>
        <w:t xml:space="preserve"> en el respectivo expediente judicial, cuando se brinde esta ayuda económica y su respaldo.”  (El resaltado no corresponde al original)</w:t>
      </w:r>
    </w:p>
    <w:p w:rsidR="00E00531" w:rsidRDefault="00BA07CA">
      <w:pPr>
        <w:suppressAutoHyphens/>
        <w:spacing w:before="280" w:after="280" w:line="240" w:lineRule="auto"/>
        <w:ind w:right="759" w:firstLine="72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Por último,  es importante mencionar que dicho pago se encu</w:t>
      </w:r>
      <w:r>
        <w:rPr>
          <w:rFonts w:ascii="Calibri" w:eastAsia="Calibri" w:hAnsi="Calibri" w:cs="Calibri"/>
          <w:sz w:val="24"/>
        </w:rPr>
        <w:t>entra en apego a lo dispuesto en el Reglamento de Cajas Chicas Auxiliares, aprobado por Corte Plena en sesión No.30-17, celebrada el 11 de setiembre de 2017 artículo II, el cual indica  que por medio de las Cajas Chicas Auxiliares se pueden sufragar los ga</w:t>
      </w:r>
      <w:r>
        <w:rPr>
          <w:rFonts w:ascii="Calibri" w:eastAsia="Calibri" w:hAnsi="Calibri" w:cs="Calibri"/>
          <w:sz w:val="24"/>
        </w:rPr>
        <w:t>stos, entre otros, los pagos de ayudas económicas a testigos, personas ofendidas, imputadas, menores infractores y facilitadores judiciales.  Sin embargo, cabe destacar  que el artículo 3 de dicho Reglamento  fue modificado en Sesión de Corte Plena  No. 35</w:t>
      </w:r>
      <w:r>
        <w:rPr>
          <w:rFonts w:ascii="Calibri" w:eastAsia="Calibri" w:hAnsi="Calibri" w:cs="Calibri"/>
          <w:sz w:val="24"/>
        </w:rPr>
        <w:t>-16 celebrada el 19 de diciembre de 2016, artículo XXV,  y comunicado mediante Circular No. 39-2017 de la Secretaría General de la Corte, el cual señala lo siguiente:</w:t>
      </w:r>
    </w:p>
    <w:p w:rsidR="00E00531" w:rsidRDefault="00BA07CA">
      <w:pPr>
        <w:suppressAutoHyphens/>
        <w:spacing w:before="100" w:after="0" w:line="240" w:lineRule="auto"/>
        <w:ind w:right="1610" w:firstLine="708"/>
        <w:jc w:val="both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“Artículo 3°. Prohibición.</w:t>
      </w:r>
    </w:p>
    <w:p w:rsidR="00E00531" w:rsidRDefault="00BA07CA">
      <w:pPr>
        <w:suppressAutoHyphens/>
        <w:spacing w:before="100" w:after="0" w:line="240" w:lineRule="auto"/>
        <w:ind w:left="737" w:right="1610"/>
        <w:jc w:val="both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 xml:space="preserve">Queda prohibido el pago de gastos de transporte, alimentación </w:t>
      </w:r>
      <w:r>
        <w:rPr>
          <w:rFonts w:ascii="Calibri" w:eastAsia="Calibri" w:hAnsi="Calibri" w:cs="Calibri"/>
          <w:i/>
          <w:sz w:val="24"/>
        </w:rPr>
        <w:t xml:space="preserve">y hospedaje </w:t>
      </w:r>
      <w:r>
        <w:rPr>
          <w:rFonts w:ascii="Calibri" w:eastAsia="Calibri" w:hAnsi="Calibri" w:cs="Calibri"/>
          <w:b/>
          <w:i/>
          <w:sz w:val="24"/>
        </w:rPr>
        <w:t>de testigos</w:t>
      </w:r>
      <w:r>
        <w:rPr>
          <w:rFonts w:ascii="Calibri" w:eastAsia="Calibri" w:hAnsi="Calibri" w:cs="Calibri"/>
          <w:i/>
          <w:sz w:val="24"/>
        </w:rPr>
        <w:t>, ofendidos, imputados, menores infractores,</w:t>
      </w:r>
      <w:r>
        <w:rPr>
          <w:rFonts w:ascii="Calibri" w:eastAsia="Calibri" w:hAnsi="Calibri" w:cs="Calibri"/>
          <w:b/>
          <w:i/>
          <w:sz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u w:val="single"/>
        </w:rPr>
        <w:t>salvo a quienes por su estado de pobreza y que provengan de lugares lejanos,</w:t>
      </w:r>
      <w:r>
        <w:rPr>
          <w:rFonts w:ascii="Calibri" w:eastAsia="Calibri" w:hAnsi="Calibri" w:cs="Calibri"/>
          <w:i/>
          <w:sz w:val="24"/>
        </w:rPr>
        <w:t xml:space="preserve"> lo ameriten, según la tarifa autorizada por el Consejo Superior a juicio del responsable de la Caja Chica. Quedan excluidos de la prohibición las personas facilitadoras judiciales, a quienes se les pagará la ayuda económica como reconocimiento a la colabo</w:t>
      </w:r>
      <w:r>
        <w:rPr>
          <w:rFonts w:ascii="Calibri" w:eastAsia="Calibri" w:hAnsi="Calibri" w:cs="Calibri"/>
          <w:i/>
          <w:sz w:val="24"/>
        </w:rPr>
        <w:t>ración, que sin ninguna relación laboral, prestan a la institución.” (El resaltado no corresponde al original).</w:t>
      </w:r>
      <w:r>
        <w:rPr>
          <w:rFonts w:ascii="Calibri" w:eastAsia="Calibri" w:hAnsi="Calibri" w:cs="Calibri"/>
          <w:i/>
          <w:sz w:val="24"/>
        </w:rPr>
        <w:tab/>
      </w:r>
    </w:p>
    <w:p w:rsidR="00E00531" w:rsidRDefault="00BA07CA">
      <w:pPr>
        <w:suppressAutoHyphens/>
        <w:spacing w:before="280" w:after="280" w:line="240" w:lineRule="auto"/>
        <w:ind w:right="759" w:firstLine="72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Corolario de lo anterior, el servicio de taxi se podrá reconocer como excepción, en tanto no se cuente con servicio público ordinario y se acre</w:t>
      </w:r>
      <w:r>
        <w:rPr>
          <w:rFonts w:ascii="Calibri" w:eastAsia="Calibri" w:hAnsi="Calibri" w:cs="Calibri"/>
          <w:sz w:val="24"/>
        </w:rPr>
        <w:t>diten todas las condiciones antes señaladas.</w:t>
      </w:r>
    </w:p>
    <w:p w:rsidR="00E00531" w:rsidRDefault="00BA07CA">
      <w:pPr>
        <w:spacing w:before="100" w:after="0" w:line="240" w:lineRule="auto"/>
        <w:ind w:firstLine="71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lastRenderedPageBreak/>
        <w:t>Atentamente,</w:t>
      </w:r>
    </w:p>
    <w:p w:rsidR="00E00531" w:rsidRDefault="00BA07CA">
      <w:pPr>
        <w:tabs>
          <w:tab w:val="left" w:pos="1920"/>
        </w:tabs>
        <w:suppressAutoHyphens/>
        <w:spacing w:after="0" w:line="240" w:lineRule="auto"/>
        <w:ind w:left="4395"/>
        <w:rPr>
          <w:rFonts w:ascii="Calibri" w:eastAsia="Calibri" w:hAnsi="Calibri" w:cs="Calibri"/>
          <w:b/>
          <w:sz w:val="24"/>
          <w:u w:val="single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u w:val="single"/>
          <w:shd w:val="clear" w:color="auto" w:fill="FFFFFF"/>
        </w:rPr>
        <w:t xml:space="preserve">               Ana Eugenia Romero Jenkins</w:t>
      </w:r>
    </w:p>
    <w:p w:rsidR="00E00531" w:rsidRDefault="00BA07CA">
      <w:pPr>
        <w:tabs>
          <w:tab w:val="left" w:pos="1920"/>
        </w:tabs>
        <w:suppressAutoHyphens/>
        <w:spacing w:after="0" w:line="240" w:lineRule="auto"/>
        <w:ind w:left="4395"/>
        <w:rPr>
          <w:rFonts w:ascii="Calibri" w:eastAsia="Calibri" w:hAnsi="Calibri" w:cs="Calibri"/>
          <w:b/>
          <w:sz w:val="24"/>
          <w:u w:val="single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u w:val="single"/>
          <w:shd w:val="clear" w:color="auto" w:fill="FFFFFF"/>
        </w:rPr>
        <w:t xml:space="preserve">                      Directora Ejecutiva</w:t>
      </w:r>
    </w:p>
    <w:p w:rsidR="00E00531" w:rsidRDefault="00E00531">
      <w:pPr>
        <w:tabs>
          <w:tab w:val="left" w:pos="1920"/>
        </w:tabs>
        <w:suppressAutoHyphens/>
        <w:spacing w:after="0" w:line="240" w:lineRule="auto"/>
        <w:rPr>
          <w:rFonts w:ascii="Calibri" w:eastAsia="Calibri" w:hAnsi="Calibri" w:cs="Calibri"/>
          <w:b/>
          <w:sz w:val="24"/>
          <w:u w:val="single"/>
          <w:shd w:val="clear" w:color="auto" w:fill="FFFFFF"/>
        </w:rPr>
      </w:pPr>
    </w:p>
    <w:p w:rsidR="00E00531" w:rsidRDefault="00BA07CA">
      <w:pPr>
        <w:suppressAutoHyphens/>
        <w:spacing w:after="0" w:line="240" w:lineRule="auto"/>
        <w:ind w:left="284"/>
        <w:jc w:val="both"/>
        <w:rPr>
          <w:rFonts w:ascii="Calibri" w:eastAsia="Calibri" w:hAnsi="Calibri" w:cs="Calibri"/>
          <w:sz w:val="20"/>
          <w:u w:val="single"/>
          <w:shd w:val="clear" w:color="auto" w:fill="FFFFFF"/>
        </w:rPr>
      </w:pPr>
      <w:proofErr w:type="spellStart"/>
      <w:r>
        <w:rPr>
          <w:rFonts w:ascii="Calibri" w:eastAsia="Calibri" w:hAnsi="Calibri" w:cs="Calibri"/>
          <w:sz w:val="20"/>
          <w:u w:val="single"/>
          <w:shd w:val="clear" w:color="auto" w:fill="FFFFFF"/>
        </w:rPr>
        <w:t>cc</w:t>
      </w:r>
      <w:proofErr w:type="spellEnd"/>
      <w:r>
        <w:rPr>
          <w:rFonts w:ascii="Calibri" w:eastAsia="Calibri" w:hAnsi="Calibri" w:cs="Calibri"/>
          <w:sz w:val="20"/>
          <w:u w:val="single"/>
          <w:shd w:val="clear" w:color="auto" w:fill="FFFFFF"/>
        </w:rPr>
        <w:t xml:space="preserve">: </w:t>
      </w:r>
      <w:r>
        <w:rPr>
          <w:rFonts w:ascii="Calibri" w:eastAsia="Calibri" w:hAnsi="Calibri" w:cs="Calibri"/>
          <w:sz w:val="20"/>
          <w:u w:val="single"/>
          <w:shd w:val="clear" w:color="auto" w:fill="FFFFFF"/>
        </w:rPr>
        <w:tab/>
        <w:t>M.B.A José Luis Soto Richmond</w:t>
      </w:r>
    </w:p>
    <w:p w:rsidR="00E00531" w:rsidRDefault="00BA07CA">
      <w:pPr>
        <w:suppressAutoHyphens/>
        <w:spacing w:after="0" w:line="240" w:lineRule="auto"/>
        <w:ind w:left="284"/>
        <w:jc w:val="both"/>
        <w:rPr>
          <w:rFonts w:ascii="Calibri" w:eastAsia="Calibri" w:hAnsi="Calibri" w:cs="Calibri"/>
          <w:sz w:val="20"/>
          <w:u w:val="single"/>
          <w:shd w:val="clear" w:color="auto" w:fill="FFFFFF"/>
        </w:rPr>
      </w:pPr>
      <w:r>
        <w:rPr>
          <w:rFonts w:ascii="Calibri" w:eastAsia="Calibri" w:hAnsi="Calibri" w:cs="Calibri"/>
          <w:sz w:val="20"/>
          <w:u w:val="single"/>
          <w:shd w:val="clear" w:color="auto" w:fill="FFFFFF"/>
        </w:rPr>
        <w:t xml:space="preserve">         Lic. Esteban Solano Alvarado</w:t>
      </w:r>
    </w:p>
    <w:p w:rsidR="00E00531" w:rsidRDefault="00BA07CA">
      <w:pPr>
        <w:suppressAutoHyphens/>
        <w:spacing w:after="0" w:line="240" w:lineRule="auto"/>
        <w:ind w:left="284"/>
        <w:jc w:val="both"/>
        <w:rPr>
          <w:rFonts w:ascii="Calibri" w:eastAsia="Calibri" w:hAnsi="Calibri" w:cs="Calibri"/>
          <w:sz w:val="20"/>
          <w:u w:val="single"/>
          <w:shd w:val="clear" w:color="auto" w:fill="FFFFFF"/>
        </w:rPr>
      </w:pPr>
      <w:r>
        <w:rPr>
          <w:rFonts w:ascii="Calibri" w:eastAsia="Calibri" w:hAnsi="Calibri" w:cs="Calibri"/>
          <w:sz w:val="20"/>
          <w:u w:val="single"/>
          <w:shd w:val="clear" w:color="auto" w:fill="FFFFFF"/>
        </w:rPr>
        <w:tab/>
        <w:t>Diligencias</w:t>
      </w:r>
    </w:p>
    <w:p w:rsidR="00E00531" w:rsidRDefault="00BA07CA">
      <w:pPr>
        <w:suppressAutoHyphens/>
        <w:spacing w:after="0" w:line="240" w:lineRule="auto"/>
        <w:ind w:left="284"/>
        <w:jc w:val="both"/>
        <w:rPr>
          <w:rFonts w:ascii="Calibri" w:eastAsia="Calibri" w:hAnsi="Calibri" w:cs="Calibri"/>
          <w:sz w:val="20"/>
          <w:u w:val="single"/>
          <w:shd w:val="clear" w:color="auto" w:fill="FFFFFF"/>
        </w:rPr>
      </w:pPr>
      <w:r>
        <w:rPr>
          <w:rFonts w:ascii="Calibri" w:eastAsia="Calibri" w:hAnsi="Calibri" w:cs="Calibri"/>
          <w:sz w:val="20"/>
          <w:u w:val="single"/>
          <w:shd w:val="clear" w:color="auto" w:fill="FFFFFF"/>
        </w:rPr>
        <w:t xml:space="preserve">         </w:t>
      </w:r>
      <w:proofErr w:type="spellStart"/>
      <w:r>
        <w:rPr>
          <w:rFonts w:ascii="Calibri" w:eastAsia="Calibri" w:hAnsi="Calibri" w:cs="Calibri"/>
          <w:sz w:val="20"/>
          <w:u w:val="single"/>
          <w:shd w:val="clear" w:color="auto" w:fill="FFFFFF"/>
        </w:rPr>
        <w:t>Archivo</w:t>
      </w:r>
      <w:r>
        <w:rPr>
          <w:rFonts w:ascii="Calibri" w:eastAsia="Calibri" w:hAnsi="Calibri" w:cs="Calibri"/>
          <w:color w:val="000000"/>
          <w:sz w:val="20"/>
          <w:u w:val="single"/>
          <w:shd w:val="clear" w:color="auto" w:fill="FFFFFF"/>
        </w:rPr>
        <w:t>AERJ</w:t>
      </w:r>
      <w:proofErr w:type="spellEnd"/>
      <w:r>
        <w:rPr>
          <w:rFonts w:ascii="Calibri" w:eastAsia="Calibri" w:hAnsi="Calibri" w:cs="Calibri"/>
          <w:color w:val="000000"/>
          <w:sz w:val="20"/>
          <w:u w:val="single"/>
          <w:shd w:val="clear" w:color="auto" w:fill="FFFFFF"/>
        </w:rPr>
        <w:t>/WKA/MAGC/</w:t>
      </w:r>
      <w:proofErr w:type="spellStart"/>
      <w:r>
        <w:rPr>
          <w:rFonts w:ascii="Calibri" w:eastAsia="Calibri" w:hAnsi="Calibri" w:cs="Calibri"/>
          <w:color w:val="000000"/>
          <w:sz w:val="20"/>
          <w:u w:val="single"/>
          <w:shd w:val="clear" w:color="auto" w:fill="FFFFFF"/>
        </w:rPr>
        <w:t>aco</w:t>
      </w:r>
      <w:proofErr w:type="spellEnd"/>
      <w:r>
        <w:rPr>
          <w:rFonts w:ascii="Calibri" w:eastAsia="Calibri" w:hAnsi="Calibri" w:cs="Calibri"/>
          <w:color w:val="000000"/>
          <w:sz w:val="20"/>
          <w:u w:val="single"/>
          <w:shd w:val="clear" w:color="auto" w:fill="FFFFFF"/>
        </w:rPr>
        <w:t xml:space="preserve"> REF: 641-2018</w:t>
      </w:r>
    </w:p>
    <w:sectPr w:rsidR="00E005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E00531"/>
    <w:rsid w:val="00BA07CA"/>
    <w:rsid w:val="00E00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Ligia Jeannette Jiménez Zamora</dc:creator>
  <cp:lastModifiedBy>ljimenezz</cp:lastModifiedBy>
  <cp:revision>2</cp:revision>
  <dcterms:created xsi:type="dcterms:W3CDTF">2020-11-19T13:23:00Z</dcterms:created>
  <dcterms:modified xsi:type="dcterms:W3CDTF">2020-11-19T13:23:00Z</dcterms:modified>
</cp:coreProperties>
</file>