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aconcuadrcula"/>
        <w:tblW w:w="10490" w:type="dxa"/>
        <w:jc w:val="left"/>
        <w:tblInd w:w="-743" w:type="dxa"/>
        <w:tblLayout w:type="fixed"/>
        <w:tblCellMar>
          <w:top w:w="0" w:type="dxa"/>
          <w:left w:w="108" w:type="dxa"/>
          <w:bottom w:w="0" w:type="dxa"/>
          <w:right w:w="108" w:type="dxa"/>
        </w:tblCellMar>
        <w:tblLook w:firstRow="1" w:noVBand="1" w:lastRow="0" w:firstColumn="1" w:lastColumn="0" w:noHBand="0" w:val="04a0"/>
      </w:tblPr>
      <w:tblGrid>
        <w:gridCol w:w="1351"/>
        <w:gridCol w:w="2881"/>
        <w:gridCol w:w="6258"/>
      </w:tblGrid>
      <w:tr>
        <w:trPr/>
        <w:tc>
          <w:tcPr>
            <w:tcW w:w="10490" w:type="dxa"/>
            <w:gridSpan w:val="3"/>
            <w:tcBorders>
              <w:top w:val="single" w:sz="4" w:space="0" w:color="002060"/>
              <w:left w:val="single" w:sz="4" w:space="0" w:color="002060"/>
              <w:bottom w:val="single" w:sz="4" w:space="0" w:color="002060"/>
              <w:right w:val="single" w:sz="4" w:space="0" w:color="002060"/>
            </w:tcBorders>
            <w:shd w:color="auto" w:fill="FFC000" w:val="clear"/>
          </w:tcPr>
          <w:p>
            <w:pPr>
              <w:pStyle w:val="Normal"/>
              <w:widowControl w:val="false"/>
              <w:spacing w:lineRule="auto" w:line="259" w:before="0" w:after="160"/>
              <w:jc w:val="both"/>
              <w:rPr>
                <w:rFonts w:ascii="Century Gothic" w:hAnsi="Century Gothic"/>
              </w:rPr>
            </w:pPr>
            <w:r>
              <w:rPr>
                <w:rFonts w:ascii="Century Gothic" w:hAnsi="Century Gothic"/>
                <w:b/>
                <w:bCs/>
              </w:rPr>
              <w:t>T</w:t>
            </w:r>
            <w:r>
              <w:rPr>
                <w:rFonts w:ascii="Century Gothic" w:hAnsi="Century Gothic"/>
                <w:b/>
                <w:bCs/>
              </w:rPr>
              <w:t xml:space="preserve">EMA: </w:t>
            </w:r>
          </w:p>
          <w:p>
            <w:pPr>
              <w:pStyle w:val="Normal"/>
              <w:widowControl w:val="false"/>
              <w:numPr>
                <w:ilvl w:val="0"/>
                <w:numId w:val="1"/>
              </w:numPr>
              <w:spacing w:lineRule="auto" w:line="259" w:before="0" w:after="160"/>
              <w:jc w:val="both"/>
              <w:rPr>
                <w:rFonts w:ascii="Century Gothic" w:hAnsi="Century Gothic"/>
                <w:b w:val="false"/>
                <w:b w:val="false"/>
                <w:bCs w:val="false"/>
              </w:rPr>
            </w:pPr>
            <w:r>
              <w:rPr>
                <w:rFonts w:ascii="Century Gothic" w:hAnsi="Century Gothic"/>
                <w:b w:val="false"/>
                <w:bCs w:val="false"/>
              </w:rPr>
              <w:t xml:space="preserve">Requerimientos básicos y esenciales de una imputación tanto para aspectos penales como civiles. </w:t>
            </w:r>
          </w:p>
          <w:p>
            <w:pPr>
              <w:pStyle w:val="Normal"/>
              <w:widowControl w:val="false"/>
              <w:numPr>
                <w:ilvl w:val="0"/>
                <w:numId w:val="1"/>
              </w:numPr>
              <w:spacing w:lineRule="auto" w:line="259" w:before="0" w:after="160"/>
              <w:jc w:val="both"/>
              <w:rPr>
                <w:rFonts w:ascii="Century Gothic" w:hAnsi="Century Gothic"/>
              </w:rPr>
            </w:pPr>
            <w:r>
              <w:rPr>
                <w:rFonts w:ascii="Century Gothic" w:hAnsi="Century Gothic"/>
                <w:b w:val="false"/>
                <w:bCs w:val="false"/>
              </w:rPr>
              <w:t xml:space="preserve">Análisis de </w:t>
            </w:r>
            <w:r>
              <w:rPr>
                <w:rFonts w:ascii="Century Gothic" w:hAnsi="Century Gothic"/>
                <w:b w:val="false"/>
                <w:bCs w:val="false"/>
              </w:rPr>
              <w:t>la</w:t>
            </w:r>
            <w:r>
              <w:rPr>
                <w:rFonts w:ascii="Century Gothic" w:hAnsi="Century Gothic"/>
                <w:b w:val="false"/>
                <w:bCs w:val="false"/>
              </w:rPr>
              <w:t xml:space="preserve"> tipicidad del delito </w:t>
            </w:r>
            <w:r>
              <w:rPr>
                <w:rFonts w:ascii="Century Gothic" w:hAnsi="Century Gothic"/>
                <w:b w:val="false"/>
                <w:bCs w:val="false"/>
              </w:rPr>
              <w:t>incumplimiento del deber alimentario</w:t>
            </w:r>
            <w:r>
              <w:rPr>
                <w:rFonts w:ascii="Century Gothic" w:hAnsi="Century Gothic"/>
                <w:b w:val="false"/>
                <w:bCs w:val="false"/>
              </w:rPr>
              <w:t xml:space="preserve">. Algunos apuntes para diferenciar  </w:t>
            </w:r>
            <w:r>
              <w:rPr>
                <w:rFonts w:ascii="Century Gothic" w:hAnsi="Century Gothic"/>
                <w:b w:val="false"/>
                <w:bCs w:val="false"/>
              </w:rPr>
              <w:t xml:space="preserve">su </w:t>
            </w:r>
            <w:r>
              <w:rPr>
                <w:rFonts w:ascii="Century Gothic" w:hAnsi="Century Gothic"/>
                <w:b w:val="false"/>
                <w:bCs w:val="false"/>
              </w:rPr>
              <w:t xml:space="preserve">tipicidad.  </w:t>
            </w:r>
          </w:p>
        </w:tc>
      </w:tr>
      <w:tr>
        <w:trPr>
          <w:trHeight w:val="1790"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val="false"/>
              <w:suppressAutoHyphens w:val="true"/>
              <w:bidi w:val="0"/>
              <w:spacing w:lineRule="auto" w:line="259" w:before="0" w:after="160"/>
              <w:jc w:val="left"/>
              <w:rPr>
                <w:rFonts w:ascii="Century Gothic" w:hAnsi="Century Gothic"/>
              </w:rPr>
            </w:pPr>
            <w:r>
              <w:rPr>
                <w:rFonts w:ascii="Century Gothic" w:hAnsi="Century Gothic"/>
              </w:rPr>
              <w:t>Despacho</w:t>
            </w:r>
          </w:p>
        </w:tc>
        <w:tc>
          <w:tcPr>
            <w:tcW w:w="2881" w:type="dxa"/>
            <w:tcBorders>
              <w:top w:val="single" w:sz="4" w:space="0" w:color="002060"/>
              <w:left w:val="nil"/>
              <w:bottom w:val="single" w:sz="4" w:space="0" w:color="002060"/>
              <w:right w:val="nil"/>
            </w:tcBorders>
            <w:shd w:fill="auto" w:val="clear"/>
          </w:tcPr>
          <w:p>
            <w:pPr>
              <w:pStyle w:val="Normal"/>
              <w:widowControl w:val="false"/>
              <w:suppressAutoHyphens w:val="true"/>
              <w:bidi w:val="0"/>
              <w:spacing w:lineRule="auto" w:line="259" w:before="0" w:after="160"/>
              <w:jc w:val="both"/>
              <w:rPr/>
            </w:pPr>
            <w:r>
              <w:rPr>
                <w:rStyle w:val="Muydestacado"/>
                <w:rFonts w:ascii="Century Gothic" w:hAnsi="Century Gothic"/>
                <w:b w:val="false"/>
                <w:bCs w:val="false"/>
                <w:sz w:val="24"/>
              </w:rPr>
              <w:t xml:space="preserve">Tribunal </w:t>
            </w:r>
            <w:r>
              <w:rPr>
                <w:rStyle w:val="Muydestacado"/>
                <w:rFonts w:ascii="Century Gothic" w:hAnsi="Century Gothic"/>
                <w:b w:val="false"/>
                <w:bCs w:val="false"/>
                <w:sz w:val="24"/>
              </w:rPr>
              <w:t>d</w:t>
            </w:r>
            <w:r>
              <w:rPr>
                <w:rStyle w:val="Muydestacado"/>
                <w:rFonts w:ascii="Century Gothic" w:hAnsi="Century Gothic"/>
                <w:b w:val="false"/>
                <w:bCs w:val="false"/>
                <w:sz w:val="24"/>
              </w:rPr>
              <w:t xml:space="preserve">e Apelación </w:t>
            </w:r>
            <w:r>
              <w:rPr>
                <w:rStyle w:val="Muydestacado"/>
                <w:rFonts w:ascii="Century Gothic" w:hAnsi="Century Gothic"/>
                <w:b w:val="false"/>
                <w:bCs w:val="false"/>
                <w:sz w:val="24"/>
              </w:rPr>
              <w:t>d</w:t>
            </w:r>
            <w:r>
              <w:rPr>
                <w:rStyle w:val="Muydestacado"/>
                <w:rFonts w:ascii="Century Gothic" w:hAnsi="Century Gothic"/>
                <w:b w:val="false"/>
                <w:bCs w:val="false"/>
                <w:sz w:val="24"/>
              </w:rPr>
              <w:t>e Sentencia Penal</w:t>
            </w:r>
            <w:r>
              <w:rPr>
                <w:rFonts w:ascii="Century Gothic" w:hAnsi="Century Gothic"/>
                <w:b w:val="false"/>
                <w:bCs w:val="false"/>
                <w:sz w:val="24"/>
              </w:rPr>
              <w:t xml:space="preserve">. Segundo Circuito Judicial </w:t>
            </w:r>
            <w:r>
              <w:rPr>
                <w:rFonts w:ascii="Century Gothic" w:hAnsi="Century Gothic"/>
                <w:b w:val="false"/>
                <w:bCs w:val="false"/>
                <w:sz w:val="24"/>
              </w:rPr>
              <w:t>d</w:t>
            </w:r>
            <w:r>
              <w:rPr>
                <w:rFonts w:ascii="Century Gothic" w:hAnsi="Century Gothic"/>
                <w:b w:val="false"/>
                <w:bCs w:val="false"/>
                <w:sz w:val="24"/>
              </w:rPr>
              <w:t>e San José, Goicoechea.</w:t>
            </w:r>
          </w:p>
        </w:tc>
        <w:tc>
          <w:tcPr>
            <w:tcW w:w="6258" w:type="dxa"/>
            <w:vMerge w:val="restart"/>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jc w:val="both"/>
              <w:rPr/>
            </w:pPr>
            <w:r>
              <w:rPr>
                <w:rFonts w:ascii="Century Gothic" w:hAnsi="Century Gothic"/>
              </w:rPr>
              <w:t>“</w:t>
            </w:r>
            <w:r>
              <w:rPr>
                <w:rFonts w:ascii="Century Gothic" w:hAnsi="Century Gothic"/>
              </w:rPr>
              <w:t>(…</w:t>
            </w:r>
            <w:r>
              <w:rPr>
                <w:rStyle w:val="Muydestacado"/>
                <w:rFonts w:ascii="Century Gothic" w:hAnsi="Century Gothic"/>
                <w:b w:val="false"/>
                <w:bCs w:val="false"/>
                <w:caps w:val="false"/>
                <w:smallCaps w:val="false"/>
                <w:spacing w:val="0"/>
              </w:rPr>
              <w:t xml:space="preserve">) </w:t>
            </w:r>
            <w:r>
              <w:rPr>
                <w:rFonts w:ascii="Century Gothic" w:hAnsi="Century Gothic"/>
                <w:sz w:val="24"/>
              </w:rPr>
              <w:t xml:space="preserve"> El fallo cumple con los requisitos de fundamentación, tal y como lo exigen los artículos 142 y 184 del Código Procesal Penal por las siguientes razones. En primer término, desde el inicio de su exposición, el </w:t>
            </w:r>
            <w:r>
              <w:rPr>
                <w:rFonts w:ascii="Century Gothic" w:hAnsi="Century Gothic"/>
                <w:i/>
                <w:sz w:val="24"/>
              </w:rPr>
              <w:t xml:space="preserve">a-quo </w:t>
            </w:r>
            <w:r>
              <w:rPr>
                <w:rFonts w:ascii="Century Gothic" w:hAnsi="Century Gothic"/>
                <w:sz w:val="24"/>
              </w:rPr>
              <w:t xml:space="preserve">puntualiza en que los hechos de la acusación fiscal son los mismos de la acción civil resarcitoria. Esto es importante porque el motivo formal que utiliza el tribunal para comenzar a motivar la absolutoria y el rechazo de la acción civil, ciertamente es común a ambas acciones, según lo prohija esta cámara de apelaciones. Al respecto, la sentencia razona bien acerca del deber de precisión, que ha de estar presente no solo en la acusación, sino también en la acción civil. Justifica su posición, al explicar que la descripción fáctica debe ser clara, precisa y circunstanciada, puntualizando que ello es requisito de ley, pues solo así es posible ejercer una adecuada defensa por parte de la persona acusada y demandada civil. Sin duda, una acusación y una acción civil oscuras en su redacción, impiden ejercer una correcta defensa, siendo que para ambos casos, la normativa dispone el deber de precisión (cfr. artículos 212 y 303 del Código Procesal Penal). En este caso, tal y como acertadamente lo resuelve el tribunal, el hecho cuarto de ambas acciones es genérico en su descripción, no permitiendo conocer con el mínimo detalle requerido: ¿cuándo? ¿dónde? y ¿cómo? se produjeron los supuestos hechos, para los efectos de defenderse bien, penal y civilmente, sin que los primeros tres hechos suplan la omisión, pues se refieren a otras circunstancias. De manera concreta, el fallo no es tan solo una elocubración, sino que profundiza en su análisis. El </w:t>
            </w:r>
            <w:r>
              <w:rPr>
                <w:rFonts w:ascii="Century Gothic" w:hAnsi="Century Gothic"/>
                <w:i/>
                <w:sz w:val="24"/>
              </w:rPr>
              <w:t xml:space="preserve">a-quo </w:t>
            </w:r>
            <w:r>
              <w:rPr>
                <w:rFonts w:ascii="Century Gothic" w:hAnsi="Century Gothic"/>
                <w:sz w:val="24"/>
              </w:rPr>
              <w:t xml:space="preserve">valora el caso concreto, señalando que por tratarse de la imputación de un delito de incumplimiento del deber alimentario, tanto para efectos civiles como penales, debía indicarse cuáles períodos de pago omitió el imputado y demandado y en qué fechas; asimismo, se indica que ha debido señalarse la forma en que se produjo la falta de cumplimiento del deber, contextualizando de dónde surgía la obligación de pago en cada período y fecha, para así inferir la comisión por omisión que finalmente se imputa y demanda. El tribunal acompaña su explicación, diciendo que en lugar de esa precisión que debían tener la acusación y la acción civil, solamente se redactó un hecho genérico en ambas piezas, esbozando un solo monto o saldo final sin indicar de dónde salió ese número. Aclara el tribunal, acertadamente, que la inadecuada técnica de redacción, también tiene incidencias procesales, pues a falta de fechas claras de cada supuesta omisión de cumplir con el deber alimentario, no es posible analizar la posible prescripción de la acción penal. Este tribunal de apelaciones considera que este motivo formal, ampliamente desarrollado en la sentencia, es una razón legal suficiente para la absolutoria penal, pero también para la declaratoria sin lugar de la acción civil. Ello es así debido a que la lectura del legajo correspondiente se desprende, que la responsabilidad civil reclamada únicamente se fundamenta en la comisión del delito de incumplimiento del deber alimentario, y no de otra fuente de responsabilidad civil. Esta particularidad es de máxima relevancia para la resolución del caso, ya que el deber del tribunal estaba circunscrito, a valorar la existencia de la posible responsabilidad civil, únicamente conforme al marco fáctico y normativo propuesto por la parte actora. De esta manera, al verificar que en el hecho cuarto se reclama una suma de dinero superior a los catorce millones de colones, únicamente al afirmar que el demandado civil omitió pagar ese monto a sabiendas de que al no hacerlo, cometía un delito. Asimismo, en el siguiente hecho de la acción civil, se reclama un daño moral de la actora - </w:t>
            </w:r>
            <w:r>
              <w:rPr>
                <w:rFonts w:ascii="Century Gothic" w:hAnsi="Century Gothic"/>
                <w:i/>
                <w:sz w:val="24"/>
              </w:rPr>
              <w:t xml:space="preserve">madre del menor de edad </w:t>
            </w:r>
            <w:r>
              <w:rPr>
                <w:rFonts w:ascii="Century Gothic" w:hAnsi="Century Gothic"/>
                <w:sz w:val="24"/>
              </w:rPr>
              <w:t xml:space="preserve">- solamente vinculado con la omisión delictiva descrita en el hecho cuarto. Con este panorama, salta a la vista que la parte actora civil no propuso al tribunal, ninguna otra fuente normativa de responsabilidad civil, por lo que de oficio el </w:t>
            </w:r>
            <w:r>
              <w:rPr>
                <w:rFonts w:ascii="Century Gothic" w:hAnsi="Century Gothic"/>
                <w:i/>
                <w:sz w:val="24"/>
              </w:rPr>
              <w:t xml:space="preserve">a-quo </w:t>
            </w:r>
            <w:r>
              <w:rPr>
                <w:rFonts w:ascii="Century Gothic" w:hAnsi="Century Gothic"/>
                <w:sz w:val="24"/>
              </w:rPr>
              <w:t xml:space="preserve">no podía buscarla y analizarla; órgano que por consecuencia, hizo bien al hacer extensivos los argumentos utilizados para fundar la absolutoria penal, al rechazo de la acción civil planteada en idénticas condiciones fácticas y jurídicas. Ahora bien, a mayor abundamiento, el fallo venido en alzada también incluyó valoraciones de fondo, para enriquecer la fundamentación de lo decidido. Al mantener la atención en los hechos tercero y cuarto de ambas piezas, el órgano de instancia expuso dos argumentaciones, que luego de ser revisadas en esta sede, se avalan como correctas y bien fundamentadas. La primera se refiere a la inexistencia del delito de incumplimiento del deber alimentario, cuando únicamente se imputan, penal y civilmente, deudas correspondientes a sumas de dinero concedidas con efecto retroactivo. Al referir este tema, el fallo explica que conforme al tipo objetivo del numeral 185 del Código Penal, el delito existe solamente cuando el sujeto activo omita prestar los medios indispensables de subsistencia a los que está obligado, de tal suerte que conforme al bien jurídico protegido - </w:t>
            </w:r>
            <w:r>
              <w:rPr>
                <w:rFonts w:ascii="Century Gothic" w:hAnsi="Century Gothic"/>
                <w:i/>
                <w:sz w:val="24"/>
              </w:rPr>
              <w:t xml:space="preserve">los deberes familiares en general, y la dignidad de la persona beneficiaria en particular </w:t>
            </w:r>
            <w:r>
              <w:rPr>
                <w:rFonts w:ascii="Century Gothic" w:hAnsi="Century Gothic"/>
                <w:sz w:val="24"/>
              </w:rPr>
              <w:t xml:space="preserve">- la acción antijurídica debe ser actual; es decir que la normativa se refiere a una obligación alimentaria directamente vinculada con la subsistencia, y ésta a su vez se entiende que se refiere al momento actual y no al pasado. Frente al caso concreto, el fallo destaca que las acciones penal y civil, no reclaman sumas de dinero no entregadas en momentos puntuales en los que existió una necesidad alimentaria para la subsistencia del hijo de </w:t>
            </w:r>
            <w:r>
              <w:rPr>
                <w:rFonts w:ascii="Century Gothic" w:hAnsi="Century Gothic"/>
                <w:sz w:val="24"/>
              </w:rPr>
              <w:t>(XXX)</w:t>
            </w:r>
            <w:r>
              <w:rPr>
                <w:rFonts w:ascii="Century Gothic" w:hAnsi="Century Gothic"/>
                <w:sz w:val="24"/>
              </w:rPr>
              <w:t xml:space="preserve">, sino que lo reclamado únicamente es una deuda, así fijada como tal por el juzgado de pensiones, respecto de hechos generadores del pasado. En efecto, en el hecho tercero de ambas acciones, se describe como la única fuente del deber alimentario, tan solo un adeudo retroactivo y no fechas concretas en que existiendo un deber alimentario específico, se omitió prestar los medios para la subsistencia de la persona menor de edad. En segundo término, el tribunal hizo un análisis acerca del dolo, que sin duda es correcto. Como motivo adicional para la absolutoria y para el rechazo de la acción civil, la sentencia también señaló que no había prueba acerca del conocimiento del deber de pago por parte del imputado y demandado civil, al haberse acreditado que solamente se le notificó por medio de la figura del curador procesal, y nunca personalmente o por medio de un lugar o medio expresamente señalado por él para esos efectos. Se explicó por qué ello era importante, al advertir que el ilícito de marras requiere dolo directo para su configuración, entendido como el necesario conocimiento previo que debe tener el sujeto obligado alimentario, respecto del deber hacia el futuro de brindar los medios de subsistencia necesarios, conforme a una frecuencia de pago específica. El órgano juzgador detalló que ello no se probó en el juicio, por lo que aún obviando las falencias formales valoradas, por el fondo tampoco era posible que las piezas prosperaran, al no poder reprocharse el dolo penal ni civil a </w:t>
            </w:r>
            <w:r>
              <w:rPr>
                <w:rFonts w:ascii="Century Gothic" w:hAnsi="Century Gothic"/>
                <w:sz w:val="24"/>
              </w:rPr>
              <w:t>(XXX)</w:t>
            </w:r>
            <w:r>
              <w:rPr>
                <w:rFonts w:ascii="Century Gothic" w:hAnsi="Century Gothic"/>
                <w:sz w:val="24"/>
              </w:rPr>
              <w:t xml:space="preserve">; argumentación que también se prohija en esta sede, al ser conforme a la estructura del tipo subjetivo de interés que, razonablemente, únicamente posibilita recriminar como autor de una omisión del deber alimentario, a quien previamente lo conocía sin lugar a dudas. Ello no puede afirmarse con certeza, cuando en el juicio únicamente se demostró que </w:t>
            </w:r>
            <w:r>
              <w:rPr>
                <w:rFonts w:ascii="Century Gothic" w:hAnsi="Century Gothic"/>
                <w:sz w:val="24"/>
              </w:rPr>
              <w:t>(XXX)</w:t>
            </w:r>
            <w:r>
              <w:rPr>
                <w:rFonts w:ascii="Century Gothic" w:hAnsi="Century Gothic"/>
                <w:sz w:val="24"/>
              </w:rPr>
              <w:t xml:space="preserve"> fue notificado por medio de la figura del curador procesal, y no personalmente acerca de la existencia de la obligación de pago. Finalmente, en vista de que el tema del embarazo de la ofendida y actora civil fue un aspecto conocido en el juicio, y también invocado en la apelación como prueba del dolo de </w:t>
            </w:r>
            <w:r>
              <w:rPr>
                <w:rFonts w:ascii="Century Gothic" w:hAnsi="Century Gothic"/>
                <w:sz w:val="24"/>
              </w:rPr>
              <w:t>(XXX)</w:t>
            </w:r>
            <w:r>
              <w:rPr>
                <w:rFonts w:ascii="Century Gothic" w:hAnsi="Century Gothic"/>
                <w:sz w:val="24"/>
              </w:rPr>
              <w:t xml:space="preserve">, brevemente se dirá que el tribunal sí valoró este punto, explicando de buena manera, que si bien el imputado y demandado supo del embarazo aproximadamente en el primer mes de gestación, su inmediato alejamiento impide afirmar que por ese solo conocimiento inicial, también le era exigible saber que el embarazo se desarrolló con normalidad, llegó a término y que por ende adquirió la paternidad como base del posterior deber alimentario. En efecto, razona adecuadamente el fallo que no todo embarazo finaliza con el nacimiento de una persona viva, por lo que al no haberse probado que </w:t>
            </w:r>
            <w:r>
              <w:rPr>
                <w:rFonts w:ascii="Century Gothic" w:hAnsi="Century Gothic"/>
                <w:sz w:val="24"/>
              </w:rPr>
              <w:t>(XXX)</w:t>
            </w:r>
            <w:r>
              <w:rPr>
                <w:rFonts w:ascii="Century Gothic" w:hAnsi="Century Gothic"/>
                <w:sz w:val="24"/>
              </w:rPr>
              <w:t xml:space="preserve"> conociera de su paternidad, sino hasta que es apremiado hacia el final del proceso en sede de pensiones alimentarias, ciertamente su conocimiento del embarazo de la ofendida y actora, en el primer mes de gestación, no alcanza para afirmar que también supo que el proceso llegó a término y que surgió entonces la paternidad y por ende su deber alimentario.</w:t>
            </w:r>
            <w:r>
              <w:rPr>
                <w:rFonts w:ascii="Century Gothic" w:hAnsi="Century Gothic"/>
                <w:b w:val="false"/>
                <w:i w:val="false"/>
                <w:caps w:val="false"/>
                <w:smallCaps w:val="false"/>
                <w:spacing w:val="0"/>
                <w:sz w:val="24"/>
              </w:rPr>
              <w:t>(..).”</w:t>
            </w:r>
          </w:p>
        </w:tc>
      </w:tr>
      <w:tr>
        <w:trPr>
          <w:trHeight w:val="799"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rPr>
            </w:pPr>
            <w:r>
              <w:rPr>
                <w:rFonts w:ascii="Century Gothic" w:hAnsi="Century Gothic"/>
                <w:b/>
                <w:bCs/>
              </w:rPr>
              <w:t>Número de resolución</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rFonts w:ascii="Century Gothic" w:hAnsi="Century Gothic"/>
              </w:rPr>
            </w:pPr>
            <w:r>
              <w:rPr>
                <w:rFonts w:ascii="Century Gothic" w:hAnsi="Century Gothic"/>
              </w:rPr>
            </w:r>
          </w:p>
          <w:p>
            <w:pPr>
              <w:pStyle w:val="Normal"/>
              <w:widowControl w:val="false"/>
              <w:spacing w:lineRule="auto" w:line="259" w:before="0" w:after="160"/>
              <w:jc w:val="center"/>
              <w:rPr>
                <w:rFonts w:ascii="Century Gothic" w:hAnsi="Century Gothic"/>
              </w:rPr>
            </w:pPr>
            <w:r>
              <w:rPr>
                <w:rFonts w:ascii="Century Gothic" w:hAnsi="Century Gothic"/>
                <w:b w:val="false"/>
                <w:bCs w:val="false"/>
              </w:rPr>
              <w:t>2023-0108</w:t>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r>
        <w:trPr>
          <w:trHeight w:val="891"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val="false"/>
              <w:spacing w:lineRule="auto" w:line="259" w:before="0" w:after="160"/>
              <w:rPr>
                <w:rFonts w:ascii="Century Gothic" w:hAnsi="Century Gothic"/>
              </w:rPr>
            </w:pPr>
            <w:r>
              <w:rPr>
                <w:rFonts w:ascii="Century Gothic" w:hAnsi="Century Gothic"/>
                <w:b/>
                <w:bCs/>
                <w:color w:val="FFC000"/>
              </w:rPr>
              <w:t>Fecha de resolución</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rFonts w:ascii="Century Gothic" w:hAnsi="Century Gothic"/>
              </w:rPr>
            </w:pPr>
            <w:r>
              <w:rPr>
                <w:rFonts w:ascii="Century Gothic" w:hAnsi="Century Gothic"/>
                <w:b w:val="false"/>
                <w:bCs w:val="false"/>
              </w:rPr>
              <w:t xml:space="preserve">26 de enero del </w:t>
            </w:r>
            <w:r>
              <w:rPr>
                <w:rFonts w:ascii="Century Gothic" w:hAnsi="Century Gothic"/>
                <w:b w:val="false"/>
                <w:bCs w:val="false"/>
              </w:rPr>
              <w:t>202</w:t>
            </w:r>
            <w:r>
              <w:rPr>
                <w:rFonts w:ascii="Century Gothic" w:hAnsi="Century Gothic"/>
                <w:b w:val="false"/>
                <w:bCs w:val="false"/>
              </w:rPr>
              <w:t>3</w:t>
            </w:r>
            <w:r>
              <w:rPr>
                <w:rFonts w:ascii="Century Gothic" w:hAnsi="Century Gothic"/>
                <w:b w:val="false"/>
                <w:bCs w:val="false"/>
              </w:rPr>
              <w:t>.</w:t>
            </w:r>
          </w:p>
          <w:p>
            <w:pPr>
              <w:pStyle w:val="Normal"/>
              <w:widowControl w:val="false"/>
              <w:spacing w:lineRule="auto" w:line="259" w:before="0" w:after="160"/>
              <w:jc w:val="center"/>
              <w:rPr>
                <w:rFonts w:ascii="Century Gothic" w:hAnsi="Century Gothic"/>
              </w:rPr>
            </w:pPr>
            <w:r>
              <w:rPr>
                <w:rFonts w:ascii="Century Gothic" w:hAnsi="Century Gothic"/>
              </w:rPr>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r>
        <w:trPr>
          <w:trHeight w:val="1065"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rPr>
            </w:pPr>
            <w:r>
              <w:rPr>
                <w:rFonts w:ascii="Century Gothic" w:hAnsi="Century Gothic"/>
                <w:b/>
                <w:bCs/>
              </w:rPr>
              <w:t>Texto completo</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both"/>
              <w:rPr>
                <w:rStyle w:val="EnlacedeInternet"/>
                <w:rFonts w:ascii="Century Gothic" w:hAnsi="Century Gothic"/>
              </w:rPr>
            </w:pPr>
            <w:r>
              <w:rPr/>
            </w:r>
          </w:p>
          <w:p>
            <w:pPr>
              <w:pStyle w:val="Normal"/>
              <w:widowControl w:val="false"/>
              <w:spacing w:lineRule="auto" w:line="259" w:before="0" w:after="160"/>
              <w:jc w:val="both"/>
              <w:rPr>
                <w:rFonts w:ascii="Century Gothic" w:hAnsi="Century Gothic"/>
              </w:rPr>
            </w:pPr>
            <w:r>
              <w:rPr>
                <w:rFonts w:ascii="Century Gothic" w:hAnsi="Century Gothic"/>
              </w:rPr>
              <w:t xml:space="preserve">No se encuentra en Nexus a la fecha. </w:t>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bl>
    <w:p>
      <w:pPr>
        <w:pStyle w:val="Normal"/>
        <w:rPr>
          <w:rFonts w:ascii="Century Gothic" w:hAnsi="Century Gothic"/>
          <w:b/>
          <w:b/>
          <w:bCs/>
        </w:rPr>
      </w:pPr>
      <w:r>
        <w:rPr>
          <w:rFonts w:ascii="Century Gothic" w:hAnsi="Century Gothic"/>
          <w:b/>
          <w:bCs/>
        </w:rPr>
      </w:r>
    </w:p>
    <w:p>
      <w:pPr>
        <w:pStyle w:val="Normal"/>
        <w:rPr>
          <w:rFonts w:ascii="Century Gothic" w:hAnsi="Century Gothic"/>
          <w:b/>
          <w:b/>
          <w:bCs/>
        </w:rPr>
      </w:pPr>
      <w:r>
        <w:rPr>
          <w:rFonts w:ascii="Century Gothic" w:hAnsi="Century Gothic"/>
          <w:b/>
          <w:bCs/>
        </w:rPr>
      </w:r>
    </w:p>
    <w:p>
      <w:pPr>
        <w:pStyle w:val="Normal"/>
        <w:widowControl/>
        <w:bidi w:val="0"/>
        <w:spacing w:lineRule="auto" w:line="259" w:before="0" w:after="160"/>
        <w:jc w:val="left"/>
        <w:rPr>
          <w:rFonts w:ascii="Century Gothic" w:hAnsi="Century Gothic"/>
        </w:rPr>
      </w:pPr>
      <w:r>
        <w:rPr>
          <w:rFonts w:ascii="Century Gothic" w:hAnsi="Century Gothic"/>
        </w:rPr>
      </w:r>
    </w:p>
    <w:tbl>
      <w:tblPr>
        <w:tblStyle w:val="Tablaconcuadrcula"/>
        <w:tblW w:w="10490" w:type="dxa"/>
        <w:jc w:val="left"/>
        <w:tblInd w:w="-743" w:type="dxa"/>
        <w:tblLayout w:type="fixed"/>
        <w:tblCellMar>
          <w:top w:w="0" w:type="dxa"/>
          <w:left w:w="108" w:type="dxa"/>
          <w:bottom w:w="0" w:type="dxa"/>
          <w:right w:w="108" w:type="dxa"/>
        </w:tblCellMar>
        <w:tblLook w:firstRow="1" w:noVBand="1" w:lastRow="0" w:firstColumn="1" w:lastColumn="0" w:noHBand="0" w:val="04a0"/>
      </w:tblPr>
      <w:tblGrid>
        <w:gridCol w:w="1351"/>
        <w:gridCol w:w="2881"/>
        <w:gridCol w:w="6258"/>
      </w:tblGrid>
      <w:tr>
        <w:trPr/>
        <w:tc>
          <w:tcPr>
            <w:tcW w:w="10490" w:type="dxa"/>
            <w:gridSpan w:val="3"/>
            <w:tcBorders>
              <w:top w:val="single" w:sz="4" w:space="0" w:color="002060"/>
              <w:left w:val="single" w:sz="4" w:space="0" w:color="002060"/>
              <w:bottom w:val="single" w:sz="4" w:space="0" w:color="002060"/>
              <w:right w:val="single" w:sz="4" w:space="0" w:color="002060"/>
            </w:tcBorders>
            <w:shd w:color="auto" w:fill="FFC000" w:val="clear"/>
          </w:tcPr>
          <w:p>
            <w:pPr>
              <w:pStyle w:val="Normal"/>
              <w:widowControl w:val="false"/>
              <w:spacing w:lineRule="auto" w:line="259" w:before="0" w:after="160"/>
              <w:jc w:val="both"/>
              <w:rPr>
                <w:rFonts w:ascii="Century Gothic" w:hAnsi="Century Gothic"/>
              </w:rPr>
            </w:pPr>
            <w:r>
              <w:rPr>
                <w:rFonts w:ascii="Century Gothic" w:hAnsi="Century Gothic"/>
                <w:b/>
                <w:bCs/>
              </w:rPr>
              <w:t xml:space="preserve">TEMA: </w:t>
            </w:r>
          </w:p>
          <w:p>
            <w:pPr>
              <w:pStyle w:val="Normal"/>
              <w:widowControl w:val="false"/>
              <w:numPr>
                <w:ilvl w:val="0"/>
                <w:numId w:val="1"/>
              </w:numPr>
              <w:spacing w:lineRule="auto" w:line="259" w:before="0" w:after="160"/>
              <w:jc w:val="both"/>
              <w:rPr>
                <w:rFonts w:ascii="Century Gothic" w:hAnsi="Century Gothic"/>
              </w:rPr>
            </w:pPr>
            <w:r>
              <w:rPr>
                <w:rFonts w:ascii="Century Gothic" w:hAnsi="Century Gothic"/>
                <w:b w:val="false"/>
                <w:bCs w:val="false"/>
              </w:rPr>
              <w:t xml:space="preserve">Errónea valoración de versión de la persona acusada. </w:t>
            </w:r>
          </w:p>
        </w:tc>
      </w:tr>
      <w:tr>
        <w:trPr>
          <w:trHeight w:val="1790"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val="false"/>
              <w:suppressAutoHyphens w:val="true"/>
              <w:bidi w:val="0"/>
              <w:spacing w:lineRule="auto" w:line="259" w:before="0" w:after="160"/>
              <w:jc w:val="left"/>
              <w:rPr>
                <w:rFonts w:ascii="Century Gothic" w:hAnsi="Century Gothic"/>
              </w:rPr>
            </w:pPr>
            <w:r>
              <w:rPr>
                <w:rFonts w:ascii="Century Gothic" w:hAnsi="Century Gothic"/>
              </w:rPr>
              <w:t>Despacho</w:t>
            </w:r>
          </w:p>
        </w:tc>
        <w:tc>
          <w:tcPr>
            <w:tcW w:w="2881" w:type="dxa"/>
            <w:tcBorders>
              <w:top w:val="single" w:sz="4" w:space="0" w:color="002060"/>
              <w:left w:val="nil"/>
              <w:bottom w:val="single" w:sz="4" w:space="0" w:color="002060"/>
              <w:right w:val="nil"/>
            </w:tcBorders>
            <w:shd w:fill="auto" w:val="clear"/>
          </w:tcPr>
          <w:p>
            <w:pPr>
              <w:pStyle w:val="Normal"/>
              <w:widowControl w:val="false"/>
              <w:suppressAutoHyphens w:val="true"/>
              <w:bidi w:val="0"/>
              <w:spacing w:lineRule="auto" w:line="259" w:before="0" w:after="160"/>
              <w:jc w:val="both"/>
              <w:rPr/>
            </w:pPr>
            <w:r>
              <w:rPr>
                <w:rStyle w:val="Muydestacado"/>
                <w:rFonts w:ascii="Century Gothic" w:hAnsi="Century Gothic"/>
                <w:b w:val="false"/>
                <w:bCs w:val="false"/>
                <w:sz w:val="24"/>
              </w:rPr>
              <w:t xml:space="preserve">Tribunal </w:t>
            </w:r>
            <w:r>
              <w:rPr>
                <w:rStyle w:val="Muydestacado"/>
                <w:rFonts w:ascii="Century Gothic" w:hAnsi="Century Gothic"/>
                <w:b w:val="false"/>
                <w:bCs w:val="false"/>
                <w:sz w:val="24"/>
              </w:rPr>
              <w:t>d</w:t>
            </w:r>
            <w:r>
              <w:rPr>
                <w:rStyle w:val="Muydestacado"/>
                <w:rFonts w:ascii="Century Gothic" w:hAnsi="Century Gothic"/>
                <w:b w:val="false"/>
                <w:bCs w:val="false"/>
                <w:sz w:val="24"/>
              </w:rPr>
              <w:t xml:space="preserve">e Apelación </w:t>
            </w:r>
            <w:r>
              <w:rPr>
                <w:rStyle w:val="Muydestacado"/>
                <w:rFonts w:ascii="Century Gothic" w:hAnsi="Century Gothic"/>
                <w:b w:val="false"/>
                <w:bCs w:val="false"/>
                <w:sz w:val="24"/>
              </w:rPr>
              <w:t>d</w:t>
            </w:r>
            <w:r>
              <w:rPr>
                <w:rStyle w:val="Muydestacado"/>
                <w:rFonts w:ascii="Century Gothic" w:hAnsi="Century Gothic"/>
                <w:b w:val="false"/>
                <w:bCs w:val="false"/>
                <w:sz w:val="24"/>
              </w:rPr>
              <w:t>e Sentencia Penal</w:t>
            </w:r>
            <w:r>
              <w:rPr>
                <w:rFonts w:ascii="Century Gothic" w:hAnsi="Century Gothic"/>
                <w:b w:val="false"/>
                <w:bCs w:val="false"/>
                <w:sz w:val="24"/>
              </w:rPr>
              <w:t xml:space="preserve">. Segundo Circuito Judicial </w:t>
            </w:r>
            <w:r>
              <w:rPr>
                <w:rFonts w:ascii="Century Gothic" w:hAnsi="Century Gothic"/>
                <w:b w:val="false"/>
                <w:bCs w:val="false"/>
                <w:sz w:val="24"/>
              </w:rPr>
              <w:t>d</w:t>
            </w:r>
            <w:r>
              <w:rPr>
                <w:rFonts w:ascii="Century Gothic" w:hAnsi="Century Gothic"/>
                <w:b w:val="false"/>
                <w:bCs w:val="false"/>
                <w:sz w:val="24"/>
              </w:rPr>
              <w:t>e San José, Goicoechea.</w:t>
            </w:r>
          </w:p>
        </w:tc>
        <w:tc>
          <w:tcPr>
            <w:tcW w:w="6258" w:type="dxa"/>
            <w:vMerge w:val="restart"/>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jc w:val="both"/>
              <w:rPr/>
            </w:pPr>
            <w:r>
              <w:rPr>
                <w:rFonts w:ascii="Century Gothic" w:hAnsi="Century Gothic"/>
              </w:rPr>
              <w:t>“</w:t>
            </w:r>
            <w:r>
              <w:rPr>
                <w:rFonts w:ascii="Century Gothic" w:hAnsi="Century Gothic"/>
              </w:rPr>
              <w:t>(…</w:t>
            </w:r>
            <w:r>
              <w:rPr>
                <w:rStyle w:val="Muydestacado"/>
                <w:rFonts w:ascii="Century Gothic" w:hAnsi="Century Gothic"/>
                <w:b w:val="false"/>
                <w:bCs w:val="false"/>
                <w:caps w:val="false"/>
                <w:smallCaps w:val="false"/>
                <w:spacing w:val="0"/>
              </w:rPr>
              <w:t xml:space="preserve">) </w:t>
            </w:r>
            <w:r>
              <w:rPr>
                <w:rStyle w:val="Muydestacado"/>
                <w:rFonts w:ascii="Century Gothic" w:hAnsi="Century Gothic"/>
                <w:b w:val="false"/>
                <w:bCs w:val="false"/>
                <w:caps w:val="false"/>
                <w:smallCaps w:val="false"/>
                <w:spacing w:val="0"/>
                <w:sz w:val="24"/>
              </w:rPr>
              <w:t xml:space="preserve">detecto esta Cámara, que al analizar la declaración del imputado, se sancionó que éste se dedicó a desprestigiar a la ofendida, además que para el tribunal, su versión no era creíble, porque le había otorgado total credibilidad a la versión de la ofendida , lo que resultan evidentemente parámetros muy diferentes a los aplicados a la prueba de cargo. No se explicó, porqué su versión no fue precisa, o enfática, o sincera no era consistente o en qué radicaron sus incoherencias. Solo explicó que el imputado aseguró que nunca le había hecho daño, que todo son inventos de la ofendida, con el fin de vengarse de él. Posteriormente incluyó, en forma textual, la declaración del imputado, y en vez de analizar con detalle tal versión, simplemente me explicó que la respetan, mas no la compartía sin explicar los motivos (…) Esta instancia corroboró que en la resolución impugnada nunca se analizó la versión de los hechos, que rindió el imputado, lo que impidió a esta instancia y las partes conocer los criterios por los cuales la dinámica de los hechos expuesta por el sindicado, no fue de credibilidad para el órgano decisor </w:t>
            </w:r>
            <w:r>
              <w:rPr>
                <w:rStyle w:val="Muydestacado"/>
                <w:rFonts w:ascii="Century Gothic" w:hAnsi="Century Gothic"/>
                <w:b w:val="false"/>
                <w:bCs w:val="false"/>
                <w:caps w:val="false"/>
                <w:smallCaps w:val="false"/>
                <w:spacing w:val="0"/>
                <w:sz w:val="24"/>
              </w:rPr>
              <w:t>(…) Independientemente si el tribunal creyó o no en la versión del imputado, debió en sentencia analizar dicha versión y explicar si tal relato se contraponía o no al resto de la prueba</w:t>
            </w:r>
            <w:r>
              <w:rPr>
                <w:rStyle w:val="Muydestacado"/>
                <w:rFonts w:ascii="Century Gothic" w:hAnsi="Century Gothic"/>
                <w:b w:val="false"/>
                <w:bCs w:val="false"/>
                <w:caps w:val="false"/>
                <w:smallCaps w:val="false"/>
                <w:spacing w:val="0"/>
                <w:sz w:val="24"/>
              </w:rPr>
              <w:t xml:space="preserve"> </w:t>
            </w:r>
            <w:r>
              <w:rPr>
                <w:rFonts w:ascii="Century Gothic" w:hAnsi="Century Gothic"/>
                <w:b w:val="false"/>
                <w:i w:val="false"/>
                <w:caps w:val="false"/>
                <w:smallCaps w:val="false"/>
                <w:spacing w:val="0"/>
                <w:sz w:val="24"/>
              </w:rPr>
              <w:t>(..).”</w:t>
            </w:r>
          </w:p>
        </w:tc>
      </w:tr>
      <w:tr>
        <w:trPr>
          <w:trHeight w:val="799"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rPr>
            </w:pPr>
            <w:r>
              <w:rPr>
                <w:rFonts w:ascii="Century Gothic" w:hAnsi="Century Gothic"/>
                <w:b/>
                <w:bCs/>
              </w:rPr>
              <w:t>Número de resolución</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rFonts w:ascii="Century Gothic" w:hAnsi="Century Gothic"/>
              </w:rPr>
            </w:pPr>
            <w:r>
              <w:rPr>
                <w:rFonts w:ascii="Century Gothic" w:hAnsi="Century Gothic"/>
              </w:rPr>
            </w:r>
          </w:p>
          <w:p>
            <w:pPr>
              <w:pStyle w:val="Normal"/>
              <w:widowControl w:val="false"/>
              <w:spacing w:lineRule="auto" w:line="259" w:before="0" w:after="160"/>
              <w:jc w:val="center"/>
              <w:rPr>
                <w:rFonts w:ascii="Century Gothic" w:hAnsi="Century Gothic"/>
              </w:rPr>
            </w:pPr>
            <w:r>
              <w:rPr>
                <w:rFonts w:ascii="Century Gothic" w:hAnsi="Century Gothic"/>
                <w:b w:val="false"/>
                <w:bCs w:val="false"/>
              </w:rPr>
              <w:t>2023-01</w:t>
            </w:r>
            <w:r>
              <w:rPr>
                <w:rFonts w:ascii="Century Gothic" w:hAnsi="Century Gothic"/>
                <w:b w:val="false"/>
                <w:bCs w:val="false"/>
              </w:rPr>
              <w:t>83</w:t>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r>
        <w:trPr>
          <w:trHeight w:val="891" w:hRule="atLeast"/>
        </w:trPr>
        <w:tc>
          <w:tcPr>
            <w:tcW w:w="1351" w:type="dxa"/>
            <w:tcBorders>
              <w:top w:val="single" w:sz="4" w:space="0" w:color="002060"/>
              <w:left w:val="single" w:sz="4" w:space="0" w:color="002060"/>
              <w:bottom w:val="single" w:sz="4" w:space="0" w:color="002060"/>
              <w:right w:val="nil"/>
            </w:tcBorders>
            <w:shd w:color="auto" w:fill="002060" w:val="clear"/>
          </w:tcPr>
          <w:p>
            <w:pPr>
              <w:pStyle w:val="Normal"/>
              <w:widowControl w:val="false"/>
              <w:spacing w:lineRule="auto" w:line="259" w:before="0" w:after="160"/>
              <w:rPr>
                <w:rFonts w:ascii="Century Gothic" w:hAnsi="Century Gothic"/>
              </w:rPr>
            </w:pPr>
            <w:r>
              <w:rPr>
                <w:rFonts w:ascii="Century Gothic" w:hAnsi="Century Gothic"/>
                <w:b/>
                <w:bCs/>
                <w:color w:val="FFC000"/>
              </w:rPr>
              <w:t>Fecha de resolución</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center"/>
              <w:rPr>
                <w:rFonts w:ascii="Century Gothic" w:hAnsi="Century Gothic"/>
              </w:rPr>
            </w:pPr>
            <w:r>
              <w:rPr>
                <w:rFonts w:ascii="Century Gothic" w:hAnsi="Century Gothic"/>
                <w:b w:val="false"/>
                <w:bCs w:val="false"/>
              </w:rPr>
              <w:t xml:space="preserve">6 </w:t>
            </w:r>
            <w:r>
              <w:rPr>
                <w:rFonts w:ascii="Century Gothic" w:hAnsi="Century Gothic"/>
                <w:b w:val="false"/>
                <w:bCs w:val="false"/>
              </w:rPr>
              <w:t xml:space="preserve">de </w:t>
            </w:r>
            <w:r>
              <w:rPr>
                <w:rFonts w:ascii="Century Gothic" w:hAnsi="Century Gothic"/>
                <w:b w:val="false"/>
                <w:bCs w:val="false"/>
              </w:rPr>
              <w:t xml:space="preserve">febrero </w:t>
            </w:r>
            <w:r>
              <w:rPr>
                <w:rFonts w:ascii="Century Gothic" w:hAnsi="Century Gothic"/>
                <w:b w:val="false"/>
                <w:bCs w:val="false"/>
              </w:rPr>
              <w:t xml:space="preserve">del </w:t>
            </w:r>
            <w:r>
              <w:rPr>
                <w:rFonts w:ascii="Century Gothic" w:hAnsi="Century Gothic"/>
                <w:b w:val="false"/>
                <w:bCs w:val="false"/>
              </w:rPr>
              <w:t>202</w:t>
            </w:r>
            <w:r>
              <w:rPr>
                <w:rFonts w:ascii="Century Gothic" w:hAnsi="Century Gothic"/>
                <w:b w:val="false"/>
                <w:bCs w:val="false"/>
              </w:rPr>
              <w:t>3</w:t>
            </w:r>
            <w:r>
              <w:rPr>
                <w:rFonts w:ascii="Century Gothic" w:hAnsi="Century Gothic"/>
                <w:b w:val="false"/>
                <w:bCs w:val="false"/>
              </w:rPr>
              <w:t>.</w:t>
            </w:r>
          </w:p>
          <w:p>
            <w:pPr>
              <w:pStyle w:val="Normal"/>
              <w:widowControl w:val="false"/>
              <w:spacing w:lineRule="auto" w:line="259" w:before="0" w:after="160"/>
              <w:jc w:val="center"/>
              <w:rPr>
                <w:rFonts w:ascii="Century Gothic" w:hAnsi="Century Gothic"/>
              </w:rPr>
            </w:pPr>
            <w:r>
              <w:rPr>
                <w:rFonts w:ascii="Century Gothic" w:hAnsi="Century Gothic"/>
              </w:rPr>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r>
        <w:trPr>
          <w:trHeight w:val="1065" w:hRule="atLeast"/>
        </w:trPr>
        <w:tc>
          <w:tcPr>
            <w:tcW w:w="1351" w:type="dxa"/>
            <w:tcBorders>
              <w:top w:val="single" w:sz="4" w:space="0" w:color="002060"/>
              <w:left w:val="single" w:sz="4" w:space="0" w:color="002060"/>
              <w:bottom w:val="single" w:sz="4" w:space="0" w:color="002060"/>
              <w:right w:val="nil"/>
            </w:tcBorders>
            <w:shd w:color="auto" w:fill="FFC000" w:val="clear"/>
          </w:tcPr>
          <w:p>
            <w:pPr>
              <w:pStyle w:val="Normal"/>
              <w:widowControl w:val="false"/>
              <w:spacing w:lineRule="auto" w:line="259" w:before="0" w:after="160"/>
              <w:rPr>
                <w:rFonts w:ascii="Century Gothic" w:hAnsi="Century Gothic"/>
              </w:rPr>
            </w:pPr>
            <w:r>
              <w:rPr>
                <w:rFonts w:ascii="Century Gothic" w:hAnsi="Century Gothic"/>
                <w:b/>
                <w:bCs/>
              </w:rPr>
              <w:t>Texto completo</w:t>
            </w:r>
          </w:p>
        </w:tc>
        <w:tc>
          <w:tcPr>
            <w:tcW w:w="2881" w:type="dxa"/>
            <w:tcBorders>
              <w:top w:val="single" w:sz="4" w:space="0" w:color="002060"/>
              <w:left w:val="nil"/>
              <w:bottom w:val="single" w:sz="4" w:space="0" w:color="002060"/>
              <w:right w:val="nil"/>
            </w:tcBorders>
            <w:shd w:fill="auto" w:val="clear"/>
          </w:tcPr>
          <w:p>
            <w:pPr>
              <w:pStyle w:val="Normal"/>
              <w:widowControl w:val="false"/>
              <w:spacing w:lineRule="auto" w:line="259" w:before="0" w:after="160"/>
              <w:jc w:val="both"/>
              <w:rPr>
                <w:rStyle w:val="EnlacedeInternet"/>
                <w:rFonts w:ascii="Century Gothic" w:hAnsi="Century Gothic"/>
              </w:rPr>
            </w:pPr>
            <w:r>
              <w:rPr/>
            </w:r>
          </w:p>
          <w:p>
            <w:pPr>
              <w:pStyle w:val="Normal"/>
              <w:widowControl w:val="false"/>
              <w:spacing w:lineRule="auto" w:line="259" w:before="0" w:after="160"/>
              <w:jc w:val="both"/>
              <w:rPr>
                <w:rFonts w:ascii="Century Gothic" w:hAnsi="Century Gothic"/>
              </w:rPr>
            </w:pPr>
            <w:r>
              <w:rPr>
                <w:rFonts w:ascii="Century Gothic" w:hAnsi="Century Gothic"/>
              </w:rPr>
              <w:t xml:space="preserve">No se encuentra en Nexus a la fecha. </w:t>
            </w:r>
          </w:p>
        </w:tc>
        <w:tc>
          <w:tcPr>
            <w:tcW w:w="6258" w:type="dxa"/>
            <w:vMerge w:val="continue"/>
            <w:tcBorders>
              <w:top w:val="single" w:sz="4" w:space="0" w:color="002060"/>
              <w:left w:val="nil"/>
              <w:bottom w:val="single" w:sz="4" w:space="0" w:color="002060"/>
              <w:right w:val="single" w:sz="4" w:space="0" w:color="002060"/>
            </w:tcBorders>
            <w:shd w:fill="auto" w:val="clear"/>
          </w:tcPr>
          <w:p>
            <w:pPr>
              <w:pStyle w:val="Normal"/>
              <w:widowControl w:val="false"/>
              <w:spacing w:lineRule="auto" w:line="259" w:before="0" w:after="160"/>
              <w:rPr>
                <w:rFonts w:ascii="Century Gothic" w:hAnsi="Century Gothic"/>
              </w:rPr>
            </w:pPr>
            <w:r>
              <w:rPr>
                <w:rFonts w:ascii="Century Gothic" w:hAnsi="Century Gothic"/>
              </w:rPr>
            </w:r>
          </w:p>
        </w:tc>
      </w:tr>
    </w:tbl>
    <w:p>
      <w:pPr>
        <w:pStyle w:val="Normal"/>
        <w:spacing w:before="0" w:after="160"/>
        <w:rPr>
          <w:rFonts w:ascii="Century Gothic" w:hAnsi="Century Gothic"/>
        </w:rPr>
      </w:pPr>
      <w:r>
        <w:rPr>
          <w:rFonts w:ascii="Century Gothic" w:hAnsi="Century Gothic"/>
        </w:rPr>
      </w:r>
    </w:p>
    <w:sectPr>
      <w:type w:val="nextPage"/>
      <w:pgSz w:w="12240" w:h="15840"/>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Century Gothic">
    <w:charset w:val="01"/>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6"/>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MX"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MX" w:eastAsia="en-US" w:bidi="ar-SA"/>
    </w:rPr>
  </w:style>
  <w:style w:type="character" w:styleId="DefaultParagraphFont" w:default="1">
    <w:name w:val="Default Paragraph Font"/>
    <w:uiPriority w:val="1"/>
    <w:unhideWhenUsed/>
    <w:qFormat/>
    <w:rPr/>
  </w:style>
  <w:style w:type="character" w:styleId="EnlacedeInternet">
    <w:name w:val="Enlace de Internet"/>
    <w:basedOn w:val="DefaultParagraphFont"/>
    <w:uiPriority w:val="99"/>
    <w:unhideWhenUsed/>
    <w:rsid w:val="00ee67d7"/>
    <w:rPr>
      <w:color w:val="0563C1" w:themeColor="hyperlink"/>
      <w:u w:val="single"/>
    </w:rPr>
  </w:style>
  <w:style w:type="character" w:styleId="UnresolvedMention">
    <w:name w:val="Unresolved Mention"/>
    <w:basedOn w:val="DefaultParagraphFont"/>
    <w:uiPriority w:val="99"/>
    <w:semiHidden/>
    <w:unhideWhenUsed/>
    <w:qFormat/>
    <w:rsid w:val="00ee67d7"/>
    <w:rPr>
      <w:color w:val="605E5C"/>
      <w:shd w:fill="E1DFDD" w:val="clear"/>
    </w:rPr>
  </w:style>
  <w:style w:type="character" w:styleId="Muydestacado">
    <w:name w:val="Muy destacado"/>
    <w:qFormat/>
    <w:rPr>
      <w:b/>
      <w:bCs/>
    </w:rPr>
  </w:style>
  <w:style w:type="character" w:styleId="Destacado">
    <w:name w:val="Destacado"/>
    <w:qFormat/>
    <w:rPr>
      <w:i/>
      <w:iCs/>
    </w:rPr>
  </w:style>
  <w:style w:type="character" w:styleId="Vietas">
    <w:name w:val="Viñetas"/>
    <w:qFormat/>
    <w:rPr>
      <w:rFonts w:ascii="OpenSymbol" w:hAnsi="OpenSymbol" w:eastAsia="OpenSymbol" w:cs="OpenSymbol"/>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ee67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Application>LibreOffice/7.3.5.2$Windows_X86_64 LibreOffice_project/184fe81b8c8c30d8b5082578aee2fed2ea847c01</Application>
  <AppVersion>15.0000</AppVersion>
  <DocSecurity>0</DocSecurity>
  <Pages>6</Pages>
  <Words>1795</Words>
  <Characters>9144</Characters>
  <CharactersWithSpaces>10923</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2020-07-10T21:29:00Z</dcterms:created>
  <dc:creator>leny chavez M</dc:creator>
  <dc:description/>
  <dc:language>es-CR</dc:language>
  <cp:lastModifiedBy/>
  <dcterms:modified xsi:type="dcterms:W3CDTF">2023-04-12T13:52:38Z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